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A48" w:rsidRDefault="00BC1A48" w:rsidP="00E222A3"/>
    <w:p w:rsidR="00D52277" w:rsidRDefault="00D52277" w:rsidP="00E222A3"/>
    <w:p w:rsidR="00C3583E" w:rsidRPr="00C3583E" w:rsidRDefault="00C3583E" w:rsidP="00C3583E">
      <w:pPr>
        <w:spacing w:after="200" w:line="276" w:lineRule="auto"/>
        <w:jc w:val="center"/>
        <w:rPr>
          <w:rFonts w:eastAsia="Calibri"/>
          <w:noProof/>
        </w:rPr>
      </w:pPr>
      <w:r w:rsidRPr="00C3583E">
        <w:rPr>
          <w:rFonts w:eastAsia="Calibri"/>
          <w:noProof/>
        </w:rPr>
        <w:t>HEART OF TEXAS WORKFORCE DEVELOPMENT BOARD, INC.</w:t>
      </w:r>
    </w:p>
    <w:p w:rsidR="00C3583E" w:rsidRPr="00C3583E" w:rsidRDefault="00C3583E" w:rsidP="00C3583E">
      <w:pPr>
        <w:spacing w:after="200" w:line="276" w:lineRule="auto"/>
        <w:jc w:val="center"/>
        <w:rPr>
          <w:rFonts w:eastAsia="Calibri"/>
          <w:b/>
          <w:noProof/>
          <w:sz w:val="28"/>
          <w:szCs w:val="28"/>
        </w:rPr>
      </w:pPr>
      <w:r w:rsidRPr="00C3583E">
        <w:rPr>
          <w:rFonts w:eastAsia="Calibri"/>
          <w:b/>
          <w:noProof/>
          <w:sz w:val="28"/>
          <w:szCs w:val="28"/>
        </w:rPr>
        <w:t>POLICY</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tblBorders>
        <w:tblLook w:val="0000" w:firstRow="0" w:lastRow="0" w:firstColumn="0" w:lastColumn="0" w:noHBand="0" w:noVBand="0"/>
      </w:tblPr>
      <w:tblGrid>
        <w:gridCol w:w="2557"/>
        <w:gridCol w:w="2229"/>
        <w:gridCol w:w="2826"/>
        <w:gridCol w:w="1329"/>
      </w:tblGrid>
      <w:tr w:rsidR="00C3583E" w:rsidRPr="00C3583E" w:rsidTr="0022008F">
        <w:trPr>
          <w:cantSplit/>
          <w:trHeight w:val="695"/>
          <w:jc w:val="center"/>
        </w:trPr>
        <w:tc>
          <w:tcPr>
            <w:tcW w:w="2557" w:type="dxa"/>
            <w:tcBorders>
              <w:top w:val="thinThickSmallGap" w:sz="18" w:space="0" w:color="auto"/>
            </w:tcBorders>
            <w:vAlign w:val="center"/>
          </w:tcPr>
          <w:p w:rsidR="00C3583E" w:rsidRPr="0022008F" w:rsidRDefault="00C3583E" w:rsidP="00C3583E">
            <w:pPr>
              <w:widowControl w:val="0"/>
              <w:kinsoku w:val="0"/>
              <w:ind w:right="-615"/>
              <w:rPr>
                <w:bCs/>
              </w:rPr>
            </w:pPr>
            <w:r w:rsidRPr="0022008F">
              <w:rPr>
                <w:b/>
                <w:bCs/>
              </w:rPr>
              <w:t xml:space="preserve">ID NO.: </w:t>
            </w:r>
            <w:r w:rsidRPr="0022008F">
              <w:rPr>
                <w:bCs/>
              </w:rPr>
              <w:t xml:space="preserve">HWD </w:t>
            </w:r>
            <w:r w:rsidRPr="0022008F">
              <w:rPr>
                <w:rFonts w:eastAsia="Calibri"/>
              </w:rPr>
              <w:t>007-04</w:t>
            </w:r>
          </w:p>
        </w:tc>
        <w:tc>
          <w:tcPr>
            <w:tcW w:w="2229" w:type="dxa"/>
            <w:tcBorders>
              <w:top w:val="thinThickSmallGap" w:sz="18" w:space="0" w:color="auto"/>
            </w:tcBorders>
            <w:vAlign w:val="center"/>
          </w:tcPr>
          <w:p w:rsidR="00C3583E" w:rsidRPr="0022008F" w:rsidRDefault="00C3583E" w:rsidP="00C3583E">
            <w:pPr>
              <w:widowControl w:val="0"/>
              <w:kinsoku w:val="0"/>
            </w:pPr>
            <w:r w:rsidRPr="0022008F">
              <w:t>Change 1</w:t>
            </w:r>
          </w:p>
        </w:tc>
        <w:tc>
          <w:tcPr>
            <w:tcW w:w="2826" w:type="dxa"/>
            <w:tcBorders>
              <w:top w:val="thinThickSmallGap" w:sz="18" w:space="0" w:color="auto"/>
            </w:tcBorders>
            <w:vAlign w:val="center"/>
          </w:tcPr>
          <w:p w:rsidR="0022008F" w:rsidRPr="0022008F" w:rsidRDefault="0022008F" w:rsidP="00C3583E">
            <w:pPr>
              <w:widowControl w:val="0"/>
              <w:kinsoku w:val="0"/>
              <w:rPr>
                <w:b/>
                <w:bCs/>
              </w:rPr>
            </w:pPr>
            <w:r w:rsidRPr="0022008F">
              <w:rPr>
                <w:b/>
                <w:bCs/>
              </w:rPr>
              <w:t xml:space="preserve">DATE ISSUED: </w:t>
            </w:r>
          </w:p>
          <w:p w:rsidR="00C3583E" w:rsidRPr="0022008F" w:rsidRDefault="00C3583E" w:rsidP="00C3583E">
            <w:pPr>
              <w:widowControl w:val="0"/>
              <w:kinsoku w:val="0"/>
              <w:rPr>
                <w:bCs/>
              </w:rPr>
            </w:pPr>
            <w:r w:rsidRPr="0022008F">
              <w:rPr>
                <w:b/>
                <w:bCs/>
              </w:rPr>
              <w:t>(</w:t>
            </w:r>
            <w:r w:rsidRPr="0022008F">
              <w:rPr>
                <w:b/>
                <w:bCs/>
                <w:i/>
              </w:rPr>
              <w:t>date of Board approval</w:t>
            </w:r>
            <w:r w:rsidRPr="0022008F">
              <w:rPr>
                <w:b/>
                <w:bCs/>
              </w:rPr>
              <w:t>)</w:t>
            </w:r>
          </w:p>
        </w:tc>
        <w:tc>
          <w:tcPr>
            <w:tcW w:w="1182" w:type="dxa"/>
            <w:tcBorders>
              <w:top w:val="thinThickSmallGap" w:sz="18" w:space="0" w:color="auto"/>
            </w:tcBorders>
            <w:vAlign w:val="center"/>
          </w:tcPr>
          <w:p w:rsidR="00C3583E" w:rsidRPr="0022008F" w:rsidRDefault="00C3583E" w:rsidP="00C3583E">
            <w:pPr>
              <w:widowControl w:val="0"/>
              <w:kinsoku w:val="0"/>
            </w:pPr>
            <w:r w:rsidRPr="0022008F">
              <w:t xml:space="preserve"> </w:t>
            </w:r>
            <w:r w:rsidR="0022008F" w:rsidRPr="0022008F">
              <w:t>9/21/17</w:t>
            </w:r>
          </w:p>
        </w:tc>
      </w:tr>
      <w:tr w:rsidR="00C3583E" w:rsidRPr="00C3583E" w:rsidTr="0022008F">
        <w:trPr>
          <w:cantSplit/>
          <w:trHeight w:val="695"/>
          <w:jc w:val="center"/>
        </w:trPr>
        <w:tc>
          <w:tcPr>
            <w:tcW w:w="2557" w:type="dxa"/>
            <w:tcBorders>
              <w:bottom w:val="thickThinSmallGap" w:sz="18" w:space="0" w:color="auto"/>
            </w:tcBorders>
            <w:vAlign w:val="center"/>
          </w:tcPr>
          <w:p w:rsidR="00C3583E" w:rsidRPr="0022008F" w:rsidRDefault="00C3583E" w:rsidP="00C3583E">
            <w:pPr>
              <w:widowControl w:val="0"/>
              <w:kinsoku w:val="0"/>
              <w:rPr>
                <w:b/>
                <w:bCs/>
              </w:rPr>
            </w:pPr>
            <w:r w:rsidRPr="0022008F">
              <w:rPr>
                <w:b/>
                <w:bCs/>
              </w:rPr>
              <w:t xml:space="preserve">PROGRAM: </w:t>
            </w:r>
          </w:p>
        </w:tc>
        <w:tc>
          <w:tcPr>
            <w:tcW w:w="2229" w:type="dxa"/>
            <w:tcBorders>
              <w:bottom w:val="thickThinSmallGap" w:sz="18" w:space="0" w:color="auto"/>
            </w:tcBorders>
            <w:vAlign w:val="center"/>
          </w:tcPr>
          <w:p w:rsidR="00C3583E" w:rsidRPr="0022008F" w:rsidRDefault="00C3583E" w:rsidP="00C3583E">
            <w:pPr>
              <w:widowControl w:val="0"/>
              <w:kinsoku w:val="0"/>
            </w:pPr>
            <w:r w:rsidRPr="0022008F">
              <w:rPr>
                <w:rFonts w:eastAsia="Calibri"/>
                <w:sz w:val="22"/>
                <w:szCs w:val="22"/>
              </w:rPr>
              <w:t xml:space="preserve"> </w:t>
            </w:r>
            <w:sdt>
              <w:sdtPr>
                <w:rPr>
                  <w:rFonts w:eastAsia="Calibri"/>
                  <w:sz w:val="22"/>
                  <w:szCs w:val="22"/>
                </w:rPr>
                <w:alias w:val="Program(s)"/>
                <w:tag w:val="Choose a Program(s)"/>
                <w:id w:val="-1445921679"/>
                <w:placeholder>
                  <w:docPart w:val="3172B4291CC049909C21ED854CE3F3FF"/>
                </w:placeholder>
                <w:comboBox>
                  <w:listItem w:displayText="Choose a Program" w:value="Choose a Program"/>
                  <w:listItem w:displayText="ADMINISTRATION" w:value="ADMINISTRATION"/>
                  <w:listItem w:displayText="ADMINISTRATION; GENERAL PERFORMANCE" w:value="ADMINISTRATION; GENERAL PERFORMANCE"/>
                  <w:listItem w:displayText="ALL PROGRAMS" w:value="ALL PROGRAMS"/>
                  <w:listItem w:displayText="ALL PROGRAMS; TWIST" w:value="ALL PROGRAMS; TWIST"/>
                  <w:listItem w:displayText="ALL PROGRAMS; VETERANS" w:value="ALL PROGRAMS; VETERANS"/>
                  <w:listItem w:displayText="ARRA / TANF" w:value="ARRA / TANF"/>
                  <w:listItem w:displayText="AUTOMATION" w:value="AUTOMATION"/>
                  <w:listItem w:displayText="CHILD CARE" w:value="CHILD CARE"/>
                  <w:listItem w:displayText="CHILD CARE; FISCAL ALLOCATIONS; RECOVERY ACT" w:value="CHILD CARE; FISCAL ALLOCATIONS; RECOVERY ACT"/>
                  <w:listItem w:displayText="CHILD CARE; RECOVERY ACT" w:value="CHILD CARE; RECOVERY ACT"/>
                  <w:listItem w:displayText="CHILD CARE; TANF/CHOICES" w:value="CHILD CARE; TANF/CHOICES"/>
                  <w:listItem w:displayText="CHILD CARE; TANF/CHOICES; TWIST" w:value="CHILD CARE; TANF/CHOICES; TWIST"/>
                  <w:listItem w:displayText="CHILD CARE; TWIST" w:value="CHILD CARE; TWIST"/>
                  <w:listItem w:displayText="CHOICES" w:value="CHOICES"/>
                  <w:listItem w:displayText="CHOICES / FSE&amp;T" w:value="CHOICES / FSE&amp;T"/>
                  <w:listItem w:displayText="DISLOCATED WORKER; TAA; TWIST; UI, WIA" w:value="DISLOCATED WORKER; TAA; TWIST; UI, WIA"/>
                  <w:listItem w:displayText="DISLOCATED WORKER; TWIST; WIA" w:value="DISLOCATED WORKER; TWIST; WIA"/>
                  <w:listItem w:displayText="EQUAL OPPORTUNITY" w:value="EQUAL OPPORTUNITY"/>
                  <w:listItem w:displayText="EMPLOYMENT SERVICES" w:value="EMPLOYMENT SERVICES"/>
                  <w:listItem w:displayText="EMPLOYMENT SERVICES; RRES; UI; WIT.COM" w:value="EMPLOYMENT SERVICES; RRES; UI; WIT.COM"/>
                  <w:listItem w:displayText="EMPLOYMENT SERVICES; TAA; TWIST; WIA" w:value="EMPLOYMENT SERVICES; TAA; TWIST; WIA"/>
                  <w:listItem w:displayText="FS" w:value="FS"/>
                  <w:listItem w:displayText="FISCAL - ADMIN; ALLOCATIONS" w:value="FISCAL - ADMIN; ALLOCATIONS"/>
                  <w:listItem w:displayText="FISCAL - ALLOCATIONS; SNAP E&amp;T" w:value="FISCAL - ALLOCATIONS; SNAP E&amp;T"/>
                  <w:listItem w:displayText="FISCAL - ALLOCATIONS; WIA" w:value="FISCAL - ALLOCATIONS; WIA"/>
                  <w:listItem w:displayText="FINANCIAL REPORTING" w:value="FINANCIAL REPORTING"/>
                  <w:listItem w:displayText="FINANCIAL REPORTING; RECOVERY ACT" w:value="FINANCIAL REPORTING; RECOVERY ACT"/>
                  <w:listItem w:displayText="FISCAL - ADMIN" w:value="FISCAL - ADMIN"/>
                  <w:listItem w:displayText="iNVESTMENT" w:value="iNVESTMENT"/>
                  <w:listItem w:displayText="PROJECT RIO" w:value="PROJECT RIO"/>
                  <w:listItem w:displayText="PROJECT RIO; TWIST" w:value="PROJECT RIO; TWIST"/>
                  <w:listItem w:displayText="SNAP E&amp;T" w:value="SNAP E&amp;T"/>
                  <w:listItem w:displayText="TAA" w:value="TAA"/>
                  <w:listItem w:displayText="TAA/TWIST" w:value="TAA/TWIST"/>
                  <w:listItem w:displayText="TANF" w:value="TANF"/>
                  <w:listItem w:displayText="TANF/CHOICES" w:value="TANF/CHOICES"/>
                  <w:listItem w:displayText="TANF/CHOICES; TWIST" w:value="TANF/CHOICES; TWIST"/>
                  <w:listItem w:displayText="TANF/CHOICES; TWIST; WIT.COM" w:value="TANF/CHOICES; TWIST; WIT.COM"/>
                  <w:listItem w:displayText="TANF / WIA" w:value="TANF / WIA"/>
                  <w:listItem w:displayText="TANF / WIA / TEXANS BACK TO WORK" w:value="TANF / WIA / TEXANS BACK TO WORK"/>
                  <w:listItem w:displayText="TRADE ADJUSTMENT ACT" w:value="TRADE ADJUSTMENT ACT"/>
                  <w:listItem w:displayText="UNEMPLOYMENT INSURANCE" w:value="UNEMPLOYMENT INSURANCE"/>
                  <w:listItem w:displayText="WAGNER-PEYSER" w:value="WAGNER-PEYSER"/>
                  <w:listItem w:displayText="WORKFORCE INVESTMENT ACT" w:value="WORKFORCE INVESTMENT ACT"/>
                  <w:listItem w:displayText="WORKFORCE INVESTMENT ACT - ADULT, YOUTH" w:value="WORKFORCE INVESTMENT ACT - ADULT, YOUTH"/>
                  <w:listItem w:displayText="WORKFORCE INVESTMENT ACT; CHOICES" w:value="WORKFORCE INVESTMENT ACT; CHOICES"/>
                  <w:listItem w:displayText="WORKFORCE INVESTMENT ACT; TWIST" w:value="WORKFORCE INVESTMENT ACT; TWIST"/>
                  <w:listItem w:displayText="WORKFORCE INVESTMENT ACT; TRAINING" w:value="WORKFORCE INVESTMENT ACT; TRAINING"/>
                  <w:listItem w:displayText="WTW" w:value="WTW"/>
                </w:comboBox>
              </w:sdtPr>
              <w:sdtEndPr/>
              <w:sdtContent>
                <w:r w:rsidRPr="0022008F">
                  <w:rPr>
                    <w:rFonts w:eastAsia="Calibri"/>
                    <w:sz w:val="22"/>
                    <w:szCs w:val="22"/>
                  </w:rPr>
                  <w:t>ALL PROGRAMS</w:t>
                </w:r>
              </w:sdtContent>
            </w:sdt>
          </w:p>
        </w:tc>
        <w:tc>
          <w:tcPr>
            <w:tcW w:w="2826" w:type="dxa"/>
            <w:tcBorders>
              <w:bottom w:val="thickThinSmallGap" w:sz="18" w:space="0" w:color="auto"/>
            </w:tcBorders>
            <w:vAlign w:val="center"/>
          </w:tcPr>
          <w:p w:rsidR="00C3583E" w:rsidRPr="0022008F" w:rsidRDefault="00C3583E" w:rsidP="00C3583E">
            <w:pPr>
              <w:widowControl w:val="0"/>
              <w:kinsoku w:val="0"/>
              <w:rPr>
                <w:b/>
                <w:bCs/>
              </w:rPr>
            </w:pPr>
            <w:r w:rsidRPr="0022008F">
              <w:rPr>
                <w:b/>
                <w:bCs/>
              </w:rPr>
              <w:t xml:space="preserve">KEYWORD:           </w:t>
            </w:r>
          </w:p>
        </w:tc>
        <w:tc>
          <w:tcPr>
            <w:tcW w:w="1182" w:type="dxa"/>
            <w:tcBorders>
              <w:bottom w:val="thickThinSmallGap" w:sz="18" w:space="0" w:color="auto"/>
            </w:tcBorders>
            <w:vAlign w:val="center"/>
          </w:tcPr>
          <w:p w:rsidR="00C3583E" w:rsidRPr="0022008F" w:rsidRDefault="00C3583E" w:rsidP="00C3583E">
            <w:pPr>
              <w:spacing w:after="200" w:line="276" w:lineRule="auto"/>
            </w:pPr>
            <w:r w:rsidRPr="0022008F">
              <w:rPr>
                <w:rFonts w:eastAsia="Calibri"/>
                <w:color w:val="808080"/>
                <w:sz w:val="22"/>
                <w:szCs w:val="22"/>
              </w:rPr>
              <w:t xml:space="preserve"> </w:t>
            </w:r>
            <w:sdt>
              <w:sdtPr>
                <w:rPr>
                  <w:rFonts w:eastAsia="Calibri"/>
                  <w:color w:val="808080"/>
                  <w:sz w:val="22"/>
                  <w:szCs w:val="22"/>
                </w:rPr>
                <w:alias w:val="KEYWORD(S)"/>
                <w:tag w:val="KEYWORD(S)"/>
                <w:id w:val="-1420787672"/>
                <w:placeholder>
                  <w:docPart w:val="3172B4291CC049909C21ED854CE3F3FF"/>
                </w:placeholder>
                <w:dropDownList>
                  <w:listItem w:displayText="Choose a Keyword" w:value="Choose a Keyword"/>
                  <w:listItem w:displayText="ADMINISTRATION" w:value="ADMINISTRATION"/>
                  <w:listItem w:displayText="BRANDING" w:value="BRANDING"/>
                  <w:listItem w:displayText="CHILD CARE, ATTENDANCE AUTOMATION" w:value="CHILD CARE, ATTENDANCE AUTOMATION"/>
                  <w:listItem w:displayText="CHILD CARE; CHILD PROTECTIVE SERVICES" w:value="CHILD CARE; CHILD PROTECTIVE SERVICES"/>
                  <w:listItem w:displayText="CHILD CARE; CHOICES  " w:value="CHILD CARE; CHOICES  "/>
                  <w:listItem w:displayText="CHILD CARE; LOCAL MATCH FUNDS" w:value="CHILD CARE; LOCAL MATCH FUNDS"/>
                  <w:listItem w:displayText="CHILD CARE; QUALITY CHILD CARE INDICATORS" w:value="CHILD CARE; QUALITY CHILD CARE INDICATORS"/>
                  <w:listItem w:displayText="CHILD CARE; RELATIVE CARE PROVIDERS LISTING REQUIREMENTS" w:value="CHILD CARE; RELATIVE CARE PROVIDERS LISTING REQUIREMENTS"/>
                  <w:listItem w:displayText="CHILD CARE; SOCIAL SECURITY NUMBERS" w:value="CHILD CARE; SOCIAL SECURITY NUMBERS"/>
                  <w:listItem w:displayText="CHILD CARE; TRAINER REQUIREMENTS" w:value="CHILD CARE; TRAINER REQUIREMENTS"/>
                  <w:listItem w:displayText="CHILD CARE; TRS QUALITY  " w:value="CHILD CARE; TRS QUALITY  "/>
                  <w:listItem w:displayText="CHILD CARE; TRS COOPERATIVE PURCHASING PROGRAM" w:value="CHILD CARE; TRS COOPERATIVE PURCHASING PROGRAM"/>
                  <w:listItem w:displayText="CHILD CARE; VARIABLE SCHEDULE" w:value="CHILD CARE; VARIABLE SCHEDULE"/>
                  <w:listItem w:displayText="CHOICES GUIDE" w:value="CHOICES GUIDE"/>
                  <w:listItem w:displayText="EMPLOYMENT SERVICES GUIDE" w:value="EMPLOYMENT SERVICES GUIDE"/>
                  <w:listItem w:displayText="EQUAL OPPORTUNITY" w:value="EQUAL OPPORTUNITY"/>
                  <w:listItem w:displayText="FRAUD &amp; ABUSE" w:value="FRAUD &amp; ABUSE"/>
                  <w:listItem w:displayText="INVESTMENT FUND BALANCE" w:value="INVESTMENT FUND BALANCE"/>
                  <w:listItem w:displayText="MARKETING" w:value="MARKETING"/>
                  <w:listItem w:displayText="MARKETING/PUBLIC RELATIONS" w:value="MARKETING/PUBLIC RELATIONS"/>
                  <w:listItem w:displayText="MICRO PURCHASE" w:value="MICRO PURCHASE"/>
                  <w:listItem w:displayText="MICRO PURCHASE; PROCUREMENT" w:value="MICRO PURCHASE; PROCUREMENT"/>
                  <w:listItem w:displayText="MIGRANT &amp; SEASONAL FARMER WORKERS" w:value="MIGRANT &amp; SEASONAL FARMER WORKERS"/>
                  <w:listItem w:displayText="OUTREACH" w:value="OUTREACH"/>
                  <w:listItem w:displayText="OVERSIGHT" w:value="OVERSIGHT"/>
                  <w:listItem w:displayText="SANCTION" w:value="SANCTION"/>
                  <w:listItem w:displayText="SNAP E&amp;T GUIDE" w:value="SNAP E&amp;T GUIDE"/>
                  <w:listItem w:displayText="TAA GUIDANCE" w:value="TAA GUIDANCE"/>
                  <w:listItem w:displayText="TRAINING GUIDE" w:value="TRAINING GUIDE"/>
                  <w:listItem w:displayText="TWIST" w:value="TWIST"/>
                  <w:listItem w:displayText="VETERANS" w:value="VETERANS"/>
                  <w:listItem w:displayText="VETERANS; PRIORITY" w:value="VETERANS; PRIORITY"/>
                  <w:listItem w:displayText="WORKFORCE INVESTMENT ACT ELIGIBILTY, INCOME DESK REFERENCE" w:value="WORKFORCE INVESTMENT ACT ELIGIBILTY, INCOME DESK REFERENCE"/>
                </w:dropDownList>
              </w:sdtPr>
              <w:sdtEndPr/>
              <w:sdtContent>
                <w:r w:rsidRPr="0022008F">
                  <w:rPr>
                    <w:rFonts w:eastAsia="Calibri"/>
                    <w:color w:val="808080"/>
                    <w:sz w:val="22"/>
                    <w:szCs w:val="22"/>
                  </w:rPr>
                  <w:t>SANCTION</w:t>
                </w:r>
              </w:sdtContent>
            </w:sdt>
          </w:p>
        </w:tc>
      </w:tr>
    </w:tbl>
    <w:p w:rsidR="00C3583E" w:rsidRPr="00C3583E" w:rsidRDefault="00C3583E" w:rsidP="00C3583E">
      <w:pPr>
        <w:spacing w:after="200" w:line="276" w:lineRule="auto"/>
        <w:jc w:val="center"/>
        <w:rPr>
          <w:rFonts w:eastAsia="Calibri"/>
          <w:noProof/>
        </w:rPr>
      </w:pPr>
    </w:p>
    <w:p w:rsidR="00C3583E" w:rsidRPr="00C3583E" w:rsidRDefault="00C3583E" w:rsidP="00C3583E">
      <w:pPr>
        <w:spacing w:after="200" w:line="276" w:lineRule="auto"/>
      </w:pPr>
      <w:r w:rsidRPr="00C3583E">
        <w:rPr>
          <w:rFonts w:eastAsia="Calibri"/>
          <w:b/>
          <w:noProof/>
        </w:rPr>
        <w:t>SUBJECT:</w:t>
      </w:r>
      <w:r w:rsidRPr="00C3583E">
        <w:rPr>
          <w:rFonts w:eastAsia="Calibri"/>
          <w:noProof/>
        </w:rPr>
        <w:t xml:space="preserve"> </w:t>
      </w:r>
      <w:r w:rsidRPr="00C3583E">
        <w:t>Sanctions and/or Penalties Policy</w:t>
      </w:r>
    </w:p>
    <w:p w:rsidR="00C3583E" w:rsidRPr="00C3583E" w:rsidRDefault="00C3583E" w:rsidP="00C3583E">
      <w:pPr>
        <w:rPr>
          <w:rFonts w:eastAsia="Calibri"/>
          <w:noProof/>
        </w:rPr>
      </w:pPr>
    </w:p>
    <w:p w:rsidR="00C3583E" w:rsidRPr="00C3583E" w:rsidRDefault="00C3583E" w:rsidP="00B21E9F">
      <w:pPr>
        <w:spacing w:after="200" w:line="276" w:lineRule="auto"/>
        <w:jc w:val="both"/>
      </w:pPr>
      <w:r w:rsidRPr="00C3583E">
        <w:rPr>
          <w:rFonts w:eastAsia="Calibri"/>
          <w:b/>
          <w:noProof/>
        </w:rPr>
        <w:t xml:space="preserve">PURPOSE: </w:t>
      </w:r>
      <w:r w:rsidRPr="00C3583E">
        <w:t>The purpose of this policy is to ensure accountability of contractors and subcontractors in meeting the needs of employers and jobseekers, to ensure programs achieve intended results and meet performance measures, and to ensure public resources are efficiently and effectively used for authorized purposes and are protected from waste, fraud and abuse.  This policy also serves to notify contractors and subcontractors of what constitutes a sanctionable act and potential penalties.</w:t>
      </w:r>
    </w:p>
    <w:p w:rsidR="00C3583E" w:rsidRPr="00C3583E" w:rsidRDefault="00C3583E" w:rsidP="00C3583E">
      <w:pPr>
        <w:rPr>
          <w:rFonts w:eastAsia="Calibri"/>
          <w:noProof/>
        </w:rPr>
      </w:pPr>
      <w:r w:rsidRPr="00C3583E">
        <w:rPr>
          <w:rFonts w:eastAsia="Calibri"/>
          <w:b/>
          <w:noProof/>
        </w:rPr>
        <w:t xml:space="preserve">REFERENCES: 40 TAC Part 20 Chapter 802, Subchapter G; FMGC Chaper 21 </w:t>
      </w:r>
    </w:p>
    <w:p w:rsidR="00C3583E" w:rsidRPr="00C3583E" w:rsidRDefault="00C3583E" w:rsidP="00C3583E">
      <w:pPr>
        <w:rPr>
          <w:rFonts w:eastAsia="Calibri"/>
          <w:noProof/>
        </w:rPr>
      </w:pPr>
    </w:p>
    <w:p w:rsidR="00C3583E" w:rsidRPr="00C3583E" w:rsidRDefault="00C3583E" w:rsidP="00C3583E">
      <w:pPr>
        <w:spacing w:before="100" w:beforeAutospacing="1" w:after="100" w:afterAutospacing="1"/>
        <w:rPr>
          <w:b/>
          <w:noProof/>
        </w:rPr>
      </w:pPr>
      <w:r w:rsidRPr="00C3583E">
        <w:rPr>
          <w:b/>
          <w:noProof/>
        </w:rPr>
        <w:t xml:space="preserve">BACKGROUND: </w:t>
      </w:r>
    </w:p>
    <w:p w:rsidR="00C3583E" w:rsidRPr="00C3583E" w:rsidRDefault="00C3583E" w:rsidP="00B21E9F">
      <w:pPr>
        <w:spacing w:before="100" w:beforeAutospacing="1" w:after="100" w:afterAutospacing="1"/>
        <w:jc w:val="both"/>
        <w:rPr>
          <w:lang w:val="en"/>
        </w:rPr>
      </w:pPr>
      <w:r w:rsidRPr="00C3583E">
        <w:rPr>
          <w:lang w:val="en"/>
        </w:rPr>
        <w:t xml:space="preserve">The Heart of Texas Workforce Board has discretion in developing its own enforcement policies to the extent that such policies do not conflict with federal and/or state provisions. The Board also has the right  to use the Texas Workforce Commission’s  sanction policy codified at </w:t>
      </w:r>
      <w:hyperlink r:id="rId8" w:history="1">
        <w:r w:rsidRPr="00C3583E">
          <w:rPr>
            <w:color w:val="0000FF"/>
            <w:u w:val="single"/>
            <w:lang w:val="en"/>
          </w:rPr>
          <w:t>40 TAC Chapter 802, Subchapter G</w:t>
        </w:r>
      </w:hyperlink>
      <w:r w:rsidRPr="00C3583E">
        <w:rPr>
          <w:lang w:val="en"/>
        </w:rPr>
        <w:t>, as a model.</w:t>
      </w:r>
    </w:p>
    <w:p w:rsidR="00C3583E" w:rsidRPr="00C3583E" w:rsidRDefault="00C3583E" w:rsidP="00B21E9F">
      <w:pPr>
        <w:spacing w:after="200" w:line="276" w:lineRule="auto"/>
        <w:jc w:val="both"/>
      </w:pPr>
      <w:r w:rsidRPr="00C3583E">
        <w:rPr>
          <w:rFonts w:eastAsia="Calibri"/>
          <w:b/>
          <w:noProof/>
        </w:rPr>
        <w:t xml:space="preserve">POLICY: </w:t>
      </w:r>
      <w:r w:rsidRPr="00C3583E">
        <w:t>Sanctions or penalties may be imposed on subcontractors that are not in compliance with applicable statues, regulations, rules or contractual obligations.  These violations may include but not be limited to the following:</w:t>
      </w:r>
    </w:p>
    <w:p w:rsidR="00C3583E" w:rsidRPr="00C3583E" w:rsidRDefault="00C3583E" w:rsidP="00C3583E">
      <w:r w:rsidRPr="00C3583E">
        <w:t xml:space="preserve">       </w:t>
      </w:r>
    </w:p>
    <w:p w:rsidR="00C3583E" w:rsidRPr="00C3583E" w:rsidRDefault="00C3583E" w:rsidP="00B21E9F">
      <w:pPr>
        <w:numPr>
          <w:ilvl w:val="0"/>
          <w:numId w:val="21"/>
        </w:numPr>
        <w:spacing w:line="276" w:lineRule="auto"/>
      </w:pPr>
      <w:r w:rsidRPr="00C3583E">
        <w:t xml:space="preserve">Failure to attain and maintain negotiated or established contracted performance standards </w:t>
      </w:r>
    </w:p>
    <w:p w:rsidR="00C3583E" w:rsidRPr="00C3583E" w:rsidRDefault="00C3583E" w:rsidP="00B21E9F">
      <w:pPr>
        <w:numPr>
          <w:ilvl w:val="0"/>
          <w:numId w:val="21"/>
        </w:numPr>
        <w:spacing w:line="276" w:lineRule="auto"/>
      </w:pPr>
      <w:r w:rsidRPr="00C3583E">
        <w:t>Failure to comply with contract provisions.</w:t>
      </w:r>
    </w:p>
    <w:p w:rsidR="00C3583E" w:rsidRPr="00C3583E" w:rsidRDefault="00C3583E" w:rsidP="00B21E9F">
      <w:pPr>
        <w:numPr>
          <w:ilvl w:val="0"/>
          <w:numId w:val="21"/>
        </w:numPr>
        <w:spacing w:line="276" w:lineRule="auto"/>
      </w:pPr>
      <w:r w:rsidRPr="00C3583E">
        <w:t xml:space="preserve">Failure to submit timely and accurate monitoring responses to monitoring findings </w:t>
      </w:r>
    </w:p>
    <w:p w:rsidR="00C3583E" w:rsidRPr="00C3583E" w:rsidRDefault="00C3583E" w:rsidP="00B21E9F">
      <w:pPr>
        <w:numPr>
          <w:ilvl w:val="0"/>
          <w:numId w:val="21"/>
        </w:numPr>
        <w:spacing w:line="276" w:lineRule="auto"/>
      </w:pPr>
      <w:r w:rsidRPr="00C3583E">
        <w:lastRenderedPageBreak/>
        <w:t>Failure to accurately resolve repeat and outstanding monitoring findings</w:t>
      </w:r>
    </w:p>
    <w:p w:rsidR="00C3583E" w:rsidRPr="00C3583E" w:rsidRDefault="00C3583E" w:rsidP="00B21E9F">
      <w:pPr>
        <w:numPr>
          <w:ilvl w:val="0"/>
          <w:numId w:val="21"/>
        </w:numPr>
        <w:spacing w:line="276" w:lineRule="auto"/>
      </w:pPr>
      <w:r w:rsidRPr="00C3583E">
        <w:t xml:space="preserve">Failure to submit timely and accurate required financial and/or performance reports  </w:t>
      </w:r>
    </w:p>
    <w:p w:rsidR="00C3583E" w:rsidRPr="00C3583E" w:rsidRDefault="00C3583E" w:rsidP="00B21E9F">
      <w:pPr>
        <w:numPr>
          <w:ilvl w:val="0"/>
          <w:numId w:val="21"/>
        </w:numPr>
        <w:spacing w:line="276" w:lineRule="auto"/>
      </w:pPr>
      <w:r w:rsidRPr="00C3583E">
        <w:t xml:space="preserve">Failure to meet target participation and numerator rates for three consecutive months </w:t>
      </w:r>
    </w:p>
    <w:p w:rsidR="00C3583E" w:rsidRPr="00C3583E" w:rsidRDefault="00C3583E" w:rsidP="00B21E9F">
      <w:pPr>
        <w:numPr>
          <w:ilvl w:val="0"/>
          <w:numId w:val="21"/>
        </w:numPr>
        <w:spacing w:line="276" w:lineRule="auto"/>
      </w:pPr>
      <w:r w:rsidRPr="00C3583E">
        <w:t xml:space="preserve">Failure to implement actions to resolve findings identified during monitoring, investigative or program reviews as well as repeated problems or findings  </w:t>
      </w:r>
    </w:p>
    <w:p w:rsidR="00C3583E" w:rsidRPr="00C3583E" w:rsidRDefault="00C3583E" w:rsidP="00B21E9F">
      <w:pPr>
        <w:numPr>
          <w:ilvl w:val="0"/>
          <w:numId w:val="21"/>
        </w:numPr>
        <w:spacing w:line="276" w:lineRule="auto"/>
      </w:pPr>
      <w:r w:rsidRPr="00C3583E">
        <w:t xml:space="preserve">Failure to rectify and /or resolve all independent audit findings and/or question costs within required time frames   </w:t>
      </w:r>
    </w:p>
    <w:p w:rsidR="00C3583E" w:rsidRPr="00C3583E" w:rsidRDefault="00C3583E" w:rsidP="00B21E9F">
      <w:pPr>
        <w:numPr>
          <w:ilvl w:val="0"/>
          <w:numId w:val="21"/>
        </w:numPr>
        <w:spacing w:line="276" w:lineRule="auto"/>
      </w:pPr>
      <w:r w:rsidRPr="00C3583E">
        <w:t xml:space="preserve">Failure to submit the annual audit required by OMB Circular A-133  </w:t>
      </w:r>
    </w:p>
    <w:p w:rsidR="00C3583E" w:rsidRPr="00C3583E" w:rsidRDefault="00C3583E" w:rsidP="00B21E9F">
      <w:pPr>
        <w:numPr>
          <w:ilvl w:val="0"/>
          <w:numId w:val="21"/>
        </w:numPr>
        <w:spacing w:line="276" w:lineRule="auto"/>
      </w:pPr>
      <w:r w:rsidRPr="00C3583E">
        <w:t xml:space="preserve">Failure to comply with all HOTWF policies and guidance as well as all TWC rules, Workforce Development letters, the grants and contract manual, the financial manual, and guidance letters of TWC. </w:t>
      </w:r>
    </w:p>
    <w:p w:rsidR="00C3583E" w:rsidRPr="00C3583E" w:rsidRDefault="00C3583E" w:rsidP="00B21E9F">
      <w:pPr>
        <w:numPr>
          <w:ilvl w:val="0"/>
          <w:numId w:val="21"/>
        </w:numPr>
        <w:spacing w:line="276" w:lineRule="auto"/>
      </w:pPr>
      <w:r w:rsidRPr="00C3583E">
        <w:t>Failure to comply with specified deliverables and reports</w:t>
      </w:r>
    </w:p>
    <w:p w:rsidR="00C3583E" w:rsidRPr="00C3583E" w:rsidRDefault="00C3583E" w:rsidP="00B21E9F">
      <w:pPr>
        <w:numPr>
          <w:ilvl w:val="0"/>
          <w:numId w:val="21"/>
        </w:numPr>
        <w:spacing w:line="276" w:lineRule="auto"/>
      </w:pPr>
      <w:r w:rsidRPr="00C3583E">
        <w:t xml:space="preserve">Failure to retain required service delivery and financial records  </w:t>
      </w:r>
    </w:p>
    <w:p w:rsidR="00C3583E" w:rsidRPr="00C3583E" w:rsidRDefault="00C3583E" w:rsidP="00C3583E"/>
    <w:p w:rsidR="00C3583E" w:rsidRPr="0022008F" w:rsidRDefault="00C3583E" w:rsidP="00C3583E">
      <w:r w:rsidRPr="00C3583E">
        <w:t>The deliberateness, gravity and frequency of the violation shall determine the degree and type of sanctions</w:t>
      </w:r>
      <w:r w:rsidRPr="0022008F">
        <w:t>.  A contractor subject to a sanction may face one or more of the following actions:</w:t>
      </w:r>
    </w:p>
    <w:p w:rsidR="00C3583E" w:rsidRPr="00C3583E" w:rsidRDefault="00C3583E" w:rsidP="00B21E9F">
      <w:pPr>
        <w:numPr>
          <w:ilvl w:val="0"/>
          <w:numId w:val="22"/>
        </w:numPr>
        <w:spacing w:line="276" w:lineRule="auto"/>
      </w:pPr>
      <w:r w:rsidRPr="00C3583E">
        <w:t>The development and implementation of a formal corrective action plan to address the weaknesses identified</w:t>
      </w:r>
    </w:p>
    <w:p w:rsidR="00C3583E" w:rsidRPr="00C3583E" w:rsidRDefault="00C3583E" w:rsidP="00B21E9F">
      <w:pPr>
        <w:numPr>
          <w:ilvl w:val="0"/>
          <w:numId w:val="22"/>
        </w:numPr>
        <w:spacing w:line="276" w:lineRule="auto"/>
      </w:pPr>
      <w:r w:rsidRPr="00C3583E">
        <w:t>Obtainment of technical, management, and/or quality assurance assistance</w:t>
      </w:r>
    </w:p>
    <w:p w:rsidR="00C3583E" w:rsidRPr="00C3583E" w:rsidRDefault="00C3583E" w:rsidP="00B21E9F">
      <w:pPr>
        <w:numPr>
          <w:ilvl w:val="0"/>
          <w:numId w:val="22"/>
        </w:numPr>
        <w:spacing w:line="276" w:lineRule="auto"/>
      </w:pPr>
      <w:r w:rsidRPr="00C3583E">
        <w:t>Designated as a high-risk entity requiring additional monitoring</w:t>
      </w:r>
    </w:p>
    <w:p w:rsidR="00C3583E" w:rsidRPr="00C3583E" w:rsidRDefault="00C3583E" w:rsidP="00B21E9F">
      <w:pPr>
        <w:numPr>
          <w:ilvl w:val="0"/>
          <w:numId w:val="22"/>
        </w:numPr>
        <w:spacing w:line="276" w:lineRule="auto"/>
      </w:pPr>
      <w:r w:rsidRPr="00C3583E">
        <w:t>Repayment of disallowed cost</w:t>
      </w:r>
    </w:p>
    <w:p w:rsidR="00C3583E" w:rsidRPr="00C3583E" w:rsidRDefault="00C3583E" w:rsidP="00B21E9F">
      <w:pPr>
        <w:numPr>
          <w:ilvl w:val="0"/>
          <w:numId w:val="22"/>
        </w:numPr>
        <w:spacing w:line="276" w:lineRule="auto"/>
      </w:pPr>
      <w:r w:rsidRPr="00C3583E">
        <w:t>The development and implementation of a performance plan</w:t>
      </w:r>
    </w:p>
    <w:p w:rsidR="00C3583E" w:rsidRPr="0022008F" w:rsidRDefault="00C3583E" w:rsidP="00B21E9F">
      <w:pPr>
        <w:numPr>
          <w:ilvl w:val="0"/>
          <w:numId w:val="22"/>
        </w:numPr>
        <w:spacing w:line="276" w:lineRule="auto"/>
      </w:pPr>
      <w:r w:rsidRPr="0022008F">
        <w:t>Implementation of a reorganization plan</w:t>
      </w:r>
    </w:p>
    <w:p w:rsidR="00C3583E" w:rsidRPr="0022008F" w:rsidRDefault="00C3583E" w:rsidP="00B21E9F">
      <w:pPr>
        <w:numPr>
          <w:ilvl w:val="0"/>
          <w:numId w:val="22"/>
        </w:numPr>
        <w:spacing w:line="276" w:lineRule="auto"/>
        <w:contextualSpacing/>
      </w:pPr>
      <w:r w:rsidRPr="0022008F">
        <w:t xml:space="preserve">Be subject to a monetary penalty/fine for failure to resolve repeat or outstanding monitoring findings which continue to be non- compliant after a follow-up review has been conducted. Those findings in a follow-up report which remain unresolved 30 days after the issuance of the follow-up report may be subject to monetary fines up to $2500.00 </w:t>
      </w:r>
    </w:p>
    <w:p w:rsidR="00C3583E" w:rsidRPr="00C3583E" w:rsidRDefault="00C3583E" w:rsidP="00B21E9F">
      <w:pPr>
        <w:pStyle w:val="ListParagraph"/>
        <w:numPr>
          <w:ilvl w:val="0"/>
          <w:numId w:val="22"/>
        </w:numPr>
      </w:pPr>
      <w:r w:rsidRPr="00C3583E">
        <w:t>Restriction on funds</w:t>
      </w:r>
    </w:p>
    <w:p w:rsidR="00C3583E" w:rsidRPr="00C3583E" w:rsidRDefault="00C3583E" w:rsidP="00B21E9F">
      <w:pPr>
        <w:numPr>
          <w:ilvl w:val="0"/>
          <w:numId w:val="23"/>
        </w:numPr>
        <w:spacing w:line="276" w:lineRule="auto"/>
      </w:pPr>
      <w:r w:rsidRPr="00C3583E">
        <w:t xml:space="preserve">Delay, suspension or denial of contracted payments </w:t>
      </w:r>
    </w:p>
    <w:p w:rsidR="00C3583E" w:rsidRPr="00C3583E" w:rsidRDefault="00C3583E" w:rsidP="00B21E9F">
      <w:pPr>
        <w:numPr>
          <w:ilvl w:val="0"/>
          <w:numId w:val="23"/>
        </w:numPr>
        <w:spacing w:line="276" w:lineRule="auto"/>
      </w:pPr>
      <w:r w:rsidRPr="00C3583E">
        <w:t xml:space="preserve">Withhold a financial amount of up to 25% of the management and indirect fees; or up to 25% of the direct costs (for profits) up to four months.  If violations are corrected the withheld money will be released; however, if the violations are not corrected the withheld funds will be forfeited. </w:t>
      </w:r>
    </w:p>
    <w:p w:rsidR="00C3583E" w:rsidRPr="00C3583E" w:rsidRDefault="00C3583E" w:rsidP="00B21E9F">
      <w:pPr>
        <w:numPr>
          <w:ilvl w:val="0"/>
          <w:numId w:val="23"/>
        </w:numPr>
        <w:spacing w:line="276" w:lineRule="auto"/>
      </w:pPr>
      <w:r w:rsidRPr="00C3583E">
        <w:t>Reduction of grant or contract allocations in future periods</w:t>
      </w:r>
    </w:p>
    <w:p w:rsidR="00C3583E" w:rsidRPr="00C3583E" w:rsidRDefault="00C3583E" w:rsidP="00B21E9F">
      <w:pPr>
        <w:numPr>
          <w:ilvl w:val="0"/>
          <w:numId w:val="23"/>
        </w:numPr>
        <w:spacing w:line="276" w:lineRule="auto"/>
      </w:pPr>
      <w:r w:rsidRPr="00C3583E">
        <w:t>De-obligation of current year funds and</w:t>
      </w:r>
    </w:p>
    <w:p w:rsidR="00C3583E" w:rsidRPr="00C3583E" w:rsidRDefault="00C3583E" w:rsidP="00B21E9F">
      <w:pPr>
        <w:numPr>
          <w:ilvl w:val="0"/>
          <w:numId w:val="23"/>
        </w:numPr>
        <w:spacing w:line="276" w:lineRule="auto"/>
      </w:pPr>
      <w:r w:rsidRPr="00C3583E">
        <w:t>Contract cancellation or termination</w:t>
      </w:r>
    </w:p>
    <w:p w:rsidR="00C3583E" w:rsidRPr="00C3583E" w:rsidRDefault="00C3583E" w:rsidP="00B21E9F">
      <w:pPr>
        <w:numPr>
          <w:ilvl w:val="0"/>
          <w:numId w:val="24"/>
        </w:numPr>
        <w:spacing w:line="276" w:lineRule="auto"/>
      </w:pPr>
      <w:r w:rsidRPr="00C3583E">
        <w:lastRenderedPageBreak/>
        <w:t>Implementation of such changes as deemed necessary by the Workforce Board to secure compliance</w:t>
      </w:r>
    </w:p>
    <w:p w:rsidR="00C3583E" w:rsidRPr="00C3583E" w:rsidRDefault="00C3583E" w:rsidP="00C3583E"/>
    <w:p w:rsidR="00C3583E" w:rsidRPr="00C3583E" w:rsidRDefault="00C3583E" w:rsidP="00C3583E">
      <w:r w:rsidRPr="00C3583E">
        <w:t>The Heart of Texas Workforce Development Board shall consider imposing additional sanctions if it is determined a continued violation by a subcontractor constitutes willful disregard of these rules, gross negligence or failure to observe accepted standards of administration, and is of significant impact to program quality or outcomes.</w:t>
      </w:r>
    </w:p>
    <w:p w:rsidR="00C3583E" w:rsidRPr="00C3583E" w:rsidRDefault="00C3583E" w:rsidP="00C3583E">
      <w:pPr>
        <w:rPr>
          <w:rFonts w:eastAsia="Calibri"/>
          <w:noProof/>
        </w:rPr>
      </w:pPr>
    </w:p>
    <w:p w:rsidR="00C3583E" w:rsidRPr="00C3583E" w:rsidRDefault="00C3583E" w:rsidP="00C3583E">
      <w:pPr>
        <w:rPr>
          <w:rFonts w:eastAsia="Calibri"/>
          <w:noProof/>
        </w:rPr>
      </w:pPr>
      <w:r w:rsidRPr="00C3583E">
        <w:rPr>
          <w:rFonts w:eastAsia="Calibri"/>
          <w:b/>
          <w:noProof/>
        </w:rPr>
        <w:t>RECISSIONS: HWD 007-04</w:t>
      </w:r>
    </w:p>
    <w:p w:rsidR="00C3583E" w:rsidRPr="00C3583E" w:rsidRDefault="00C3583E" w:rsidP="00C3583E">
      <w:pPr>
        <w:rPr>
          <w:rFonts w:eastAsia="Calibri"/>
          <w:noProof/>
        </w:rPr>
      </w:pPr>
    </w:p>
    <w:p w:rsidR="00C3583E" w:rsidRPr="00C3583E" w:rsidRDefault="00C3583E" w:rsidP="00C3583E">
      <w:pPr>
        <w:rPr>
          <w:rFonts w:eastAsia="Calibri"/>
          <w:noProof/>
        </w:rPr>
      </w:pPr>
    </w:p>
    <w:p w:rsidR="00C3583E" w:rsidRPr="00C3583E" w:rsidRDefault="00C3583E" w:rsidP="00C3583E">
      <w:pPr>
        <w:rPr>
          <w:rFonts w:eastAsia="Calibri"/>
          <w:noProof/>
        </w:rPr>
      </w:pPr>
    </w:p>
    <w:p w:rsidR="00C3583E" w:rsidRPr="00C3583E" w:rsidRDefault="00C3583E" w:rsidP="00C3583E">
      <w:pPr>
        <w:rPr>
          <w:rFonts w:eastAsia="Calibri"/>
          <w:noProof/>
        </w:rPr>
      </w:pPr>
      <w:r w:rsidRPr="00C3583E">
        <w:rPr>
          <w:rFonts w:eastAsia="Calibri"/>
          <w:b/>
          <w:noProof/>
        </w:rPr>
        <w:t>EFFECTIVE DATE:</w:t>
      </w:r>
      <w:r w:rsidRPr="00C3583E">
        <w:rPr>
          <w:rFonts w:eastAsia="Calibri"/>
          <w:noProof/>
        </w:rPr>
        <w:t xml:space="preserve"> Immediately</w:t>
      </w:r>
    </w:p>
    <w:p w:rsidR="00C3583E" w:rsidRPr="00C3583E" w:rsidRDefault="00C3583E" w:rsidP="00C3583E">
      <w:pPr>
        <w:rPr>
          <w:rFonts w:eastAsia="Calibri"/>
          <w:noProof/>
        </w:rPr>
      </w:pPr>
    </w:p>
    <w:p w:rsidR="00D52277" w:rsidRDefault="00D52277" w:rsidP="00E222A3">
      <w:bookmarkStart w:id="0" w:name="_GoBack"/>
      <w:bookmarkEnd w:id="0"/>
    </w:p>
    <w:sectPr w:rsidR="00D52277" w:rsidSect="00285989">
      <w:headerReference w:type="default" r:id="rId9"/>
      <w:footerReference w:type="default" r:id="rId10"/>
      <w:pgSz w:w="12240" w:h="15840" w:code="1"/>
      <w:pgMar w:top="1890" w:right="1440" w:bottom="1440" w:left="1440" w:header="720" w:footer="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F1A" w:rsidRDefault="00DE3F1A">
      <w:r>
        <w:separator/>
      </w:r>
    </w:p>
  </w:endnote>
  <w:endnote w:type="continuationSeparator" w:id="0">
    <w:p w:rsidR="00DE3F1A" w:rsidRDefault="00DE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15" w:rsidRPr="00F71213" w:rsidRDefault="00B73F15" w:rsidP="00B73F15">
    <w:pPr>
      <w:pStyle w:val="Footer"/>
      <w:jc w:val="center"/>
      <w:rPr>
        <w:rFonts w:ascii="Arial" w:hAnsi="Arial" w:cs="Arial"/>
        <w:b/>
        <w:color w:val="143C69"/>
        <w:sz w:val="18"/>
        <w:szCs w:val="16"/>
      </w:rPr>
    </w:pPr>
    <w:r w:rsidRPr="00F71213">
      <w:rPr>
        <w:rFonts w:ascii="Arial" w:hAnsi="Arial" w:cs="Arial"/>
        <w:b/>
        <w:color w:val="143C69"/>
        <w:sz w:val="18"/>
        <w:szCs w:val="16"/>
      </w:rPr>
      <w:t>www.hotworkforce.com</w:t>
    </w:r>
  </w:p>
  <w:p w:rsidR="00B73F15" w:rsidRPr="00F71213" w:rsidRDefault="00B73F15" w:rsidP="00B73F15">
    <w:pPr>
      <w:pStyle w:val="Footer"/>
      <w:jc w:val="center"/>
      <w:rPr>
        <w:rFonts w:ascii="Arial" w:hAnsi="Arial" w:cs="Arial"/>
        <w:color w:val="143C69"/>
        <w:sz w:val="10"/>
        <w:szCs w:val="8"/>
      </w:rPr>
    </w:pPr>
  </w:p>
  <w:p w:rsidR="00B73F15" w:rsidRPr="00F71213" w:rsidRDefault="00B73F15" w:rsidP="00B73F15">
    <w:pPr>
      <w:pStyle w:val="Footer"/>
      <w:jc w:val="center"/>
      <w:rPr>
        <w:rFonts w:ascii="Arial" w:hAnsi="Arial" w:cs="Arial"/>
        <w:color w:val="143C69"/>
        <w:sz w:val="18"/>
        <w:szCs w:val="16"/>
      </w:rPr>
    </w:pPr>
    <w:r w:rsidRPr="00F71213">
      <w:rPr>
        <w:rFonts w:ascii="Arial" w:hAnsi="Arial" w:cs="Arial"/>
        <w:color w:val="143C69"/>
        <w:sz w:val="18"/>
        <w:szCs w:val="16"/>
      </w:rPr>
      <w:t>Heart of Texas Workforce Development Board, Inc.</w:t>
    </w:r>
  </w:p>
  <w:p w:rsidR="00B73F15" w:rsidRPr="00A946EA" w:rsidRDefault="00B73F15" w:rsidP="00B73F15">
    <w:pPr>
      <w:pStyle w:val="Footer"/>
      <w:jc w:val="center"/>
      <w:rPr>
        <w:rFonts w:ascii="Arial" w:hAnsi="Arial" w:cs="Arial"/>
        <w:color w:val="143C69"/>
        <w:sz w:val="18"/>
        <w:szCs w:val="16"/>
      </w:rPr>
    </w:pPr>
    <w:r w:rsidRPr="00F71213">
      <w:rPr>
        <w:rFonts w:ascii="Arial" w:hAnsi="Arial" w:cs="Arial"/>
        <w:color w:val="143C69"/>
        <w:sz w:val="18"/>
        <w:szCs w:val="16"/>
      </w:rPr>
      <w:t>801 Washington Avenue, Suite 700   ▪   Waco, Texas 76701   ▪</w:t>
    </w:r>
    <w:r w:rsidRPr="00F71213">
      <w:rPr>
        <w:color w:val="143C69"/>
        <w:sz w:val="18"/>
        <w:szCs w:val="16"/>
      </w:rPr>
      <w:t xml:space="preserve"> </w:t>
    </w:r>
    <w:r w:rsidRPr="00F71213">
      <w:rPr>
        <w:rFonts w:ascii="Arial" w:hAnsi="Arial" w:cs="Arial"/>
        <w:color w:val="143C69"/>
        <w:sz w:val="18"/>
        <w:szCs w:val="16"/>
      </w:rPr>
      <w:t xml:space="preserve">  (254) 296-5300   ▪   FAX (254) 753-3173</w:t>
    </w:r>
  </w:p>
  <w:p w:rsidR="00B73F15" w:rsidRPr="00F71213" w:rsidRDefault="00B73F15" w:rsidP="00B73F15">
    <w:pPr>
      <w:pStyle w:val="Default"/>
      <w:tabs>
        <w:tab w:val="left" w:pos="2295"/>
      </w:tabs>
      <w:rPr>
        <w:rFonts w:ascii="Arial" w:hAnsi="Arial" w:cs="Arial"/>
        <w:color w:val="143C69"/>
        <w:sz w:val="8"/>
        <w:szCs w:val="8"/>
      </w:rPr>
    </w:pPr>
    <w:r w:rsidRPr="00F71213">
      <w:rPr>
        <w:rFonts w:ascii="Arial" w:hAnsi="Arial" w:cs="Arial"/>
        <w:color w:val="143C69"/>
        <w:sz w:val="8"/>
        <w:szCs w:val="8"/>
      </w:rPr>
      <w:tab/>
    </w:r>
  </w:p>
  <w:p w:rsidR="00B73F15" w:rsidRDefault="00B73F15" w:rsidP="00B73F15">
    <w:pPr>
      <w:pStyle w:val="Footer"/>
      <w:jc w:val="center"/>
      <w:rPr>
        <w:rStyle w:val="A3"/>
        <w:rFonts w:ascii="Arial" w:hAnsi="Arial" w:cs="Arial"/>
        <w:i/>
        <w:color w:val="143C69"/>
        <w:sz w:val="12"/>
        <w:szCs w:val="12"/>
      </w:rPr>
    </w:pPr>
    <w:r w:rsidRPr="005E7C9A">
      <w:rPr>
        <w:rFonts w:ascii="Arial" w:hAnsi="Arial" w:cs="Arial"/>
        <w:i/>
        <w:color w:val="143C69"/>
        <w:sz w:val="12"/>
        <w:szCs w:val="12"/>
      </w:rPr>
      <w:t xml:space="preserve"> </w:t>
    </w:r>
    <w:r w:rsidRPr="005E7C9A">
      <w:rPr>
        <w:rStyle w:val="A3"/>
        <w:rFonts w:ascii="Arial" w:hAnsi="Arial" w:cs="Arial"/>
        <w:i/>
        <w:color w:val="143C69"/>
        <w:sz w:val="12"/>
        <w:szCs w:val="12"/>
      </w:rPr>
      <w:t>The Heart of Texas Workforce Board, Inc. is an equal opportunity employer/programs and auxiliary aids and services are available upon requ</w:t>
    </w:r>
    <w:r>
      <w:rPr>
        <w:rStyle w:val="A3"/>
        <w:rFonts w:ascii="Arial" w:hAnsi="Arial" w:cs="Arial"/>
        <w:i/>
        <w:color w:val="143C69"/>
        <w:sz w:val="12"/>
        <w:szCs w:val="12"/>
      </w:rPr>
      <w:t xml:space="preserve">est to include individuals with </w:t>
    </w:r>
    <w:r>
      <w:rPr>
        <w:rStyle w:val="A3"/>
        <w:rFonts w:ascii="Arial" w:hAnsi="Arial" w:cs="Arial"/>
        <w:i/>
        <w:color w:val="143C69"/>
        <w:sz w:val="12"/>
        <w:szCs w:val="12"/>
      </w:rPr>
      <w:softHyphen/>
    </w:r>
    <w:r w:rsidRPr="005E7C9A">
      <w:rPr>
        <w:rStyle w:val="A3"/>
        <w:rFonts w:ascii="Arial" w:hAnsi="Arial" w:cs="Arial"/>
        <w:i/>
        <w:color w:val="143C69"/>
        <w:sz w:val="12"/>
        <w:szCs w:val="12"/>
      </w:rPr>
      <w:t xml:space="preserve">disabilities. TTY/TDD via RELAY Texas service at 711 or (TDD) 1-800-735-2989 / 1-800-735-2988 (voice). </w:t>
    </w:r>
  </w:p>
  <w:p w:rsidR="00B73F15" w:rsidRDefault="00B73F15" w:rsidP="00B73F15">
    <w:pPr>
      <w:pStyle w:val="Footer"/>
      <w:jc w:val="center"/>
      <w:rPr>
        <w:rStyle w:val="A3"/>
        <w:rFonts w:ascii="Arial" w:hAnsi="Arial" w:cs="Arial"/>
        <w:i/>
        <w:color w:val="143C69"/>
        <w:sz w:val="12"/>
        <w:szCs w:val="12"/>
      </w:rPr>
    </w:pPr>
  </w:p>
  <w:p w:rsidR="00B73F15" w:rsidRPr="005E7C9A" w:rsidRDefault="00B73F15" w:rsidP="00B73F15">
    <w:pPr>
      <w:pStyle w:val="Footer"/>
      <w:jc w:val="center"/>
      <w:rPr>
        <w:rStyle w:val="A3"/>
        <w:rFonts w:ascii="Arial" w:hAnsi="Arial" w:cs="Arial"/>
        <w:i/>
        <w:color w:val="143C69"/>
        <w:sz w:val="12"/>
        <w:szCs w:val="12"/>
      </w:rPr>
    </w:pPr>
    <w:r>
      <w:rPr>
        <w:rFonts w:ascii="Arial" w:hAnsi="Arial" w:cs="Arial"/>
        <w:i/>
        <w:noProof/>
        <w:color w:val="143C69"/>
        <w:sz w:val="12"/>
        <w:szCs w:val="12"/>
      </w:rPr>
      <w:drawing>
        <wp:inline distT="0" distB="0" distL="0" distR="0" wp14:anchorId="72E749E8" wp14:editId="2E0B35A1">
          <wp:extent cx="2133604" cy="134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C_colored_letter.png"/>
                  <pic:cNvPicPr/>
                </pic:nvPicPr>
                <pic:blipFill>
                  <a:blip r:embed="rId1">
                    <a:extLst>
                      <a:ext uri="{28A0092B-C50C-407E-A947-70E740481C1C}">
                        <a14:useLocalDpi xmlns:a14="http://schemas.microsoft.com/office/drawing/2010/main" val="0"/>
                      </a:ext>
                    </a:extLst>
                  </a:blip>
                  <a:stretch>
                    <a:fillRect/>
                  </a:stretch>
                </pic:blipFill>
                <pic:spPr>
                  <a:xfrm>
                    <a:off x="0" y="0"/>
                    <a:ext cx="2133604" cy="134112"/>
                  </a:xfrm>
                  <a:prstGeom prst="rect">
                    <a:avLst/>
                  </a:prstGeom>
                </pic:spPr>
              </pic:pic>
            </a:graphicData>
          </a:graphic>
        </wp:inline>
      </w:drawing>
    </w:r>
  </w:p>
  <w:p w:rsidR="00CC0D91" w:rsidRPr="00B73F15" w:rsidRDefault="00CC0D91" w:rsidP="00B7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F1A" w:rsidRDefault="00DE3F1A">
      <w:r>
        <w:separator/>
      </w:r>
    </w:p>
  </w:footnote>
  <w:footnote w:type="continuationSeparator" w:id="0">
    <w:p w:rsidR="00DE3F1A" w:rsidRDefault="00DE3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15" w:rsidRDefault="00981EC0">
    <w:pPr>
      <w:pStyle w:val="Header"/>
    </w:pPr>
    <w:r>
      <w:rPr>
        <w:noProof/>
      </w:rPr>
      <w:drawing>
        <wp:anchor distT="0" distB="0" distL="114300" distR="114300" simplePos="0" relativeHeight="251658240" behindDoc="1" locked="0" layoutInCell="1" allowOverlap="1" wp14:anchorId="1357502E" wp14:editId="17ABB90C">
          <wp:simplePos x="0" y="0"/>
          <wp:positionH relativeFrom="column">
            <wp:posOffset>1234440</wp:posOffset>
          </wp:positionH>
          <wp:positionV relativeFrom="paragraph">
            <wp:posOffset>7620</wp:posOffset>
          </wp:positionV>
          <wp:extent cx="3502025" cy="676275"/>
          <wp:effectExtent l="0" t="0" r="0" b="0"/>
          <wp:wrapThrough wrapText="bothSides">
            <wp:wrapPolygon edited="0">
              <wp:start x="0" y="0"/>
              <wp:lineTo x="0" y="21296"/>
              <wp:lineTo x="21502" y="21296"/>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B731_WSHOT_Logo_LinkingTagline_CMYK_Nov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0202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2747A"/>
    <w:multiLevelType w:val="hybridMultilevel"/>
    <w:tmpl w:val="4C8C0AB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B2C77"/>
    <w:multiLevelType w:val="hybridMultilevel"/>
    <w:tmpl w:val="24AC21F6"/>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A8218E2"/>
    <w:multiLevelType w:val="hybridMultilevel"/>
    <w:tmpl w:val="74405B1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1C202349"/>
    <w:multiLevelType w:val="hybridMultilevel"/>
    <w:tmpl w:val="A4585CEC"/>
    <w:lvl w:ilvl="0" w:tplc="04090019">
      <w:start w:val="1"/>
      <w:numFmt w:val="lowerLetter"/>
      <w:lvlText w:val="%1."/>
      <w:lvlJc w:val="left"/>
      <w:pPr>
        <w:tabs>
          <w:tab w:val="num" w:pos="1620"/>
        </w:tabs>
        <w:ind w:left="1620" w:hanging="720"/>
      </w:pPr>
      <w:rPr>
        <w:rFonts w:hint="default"/>
      </w:rPr>
    </w:lvl>
    <w:lvl w:ilvl="1" w:tplc="04090019">
      <w:start w:val="1"/>
      <w:numFmt w:val="lowerLetter"/>
      <w:lvlText w:val="%2."/>
      <w:lvlJc w:val="left"/>
      <w:pPr>
        <w:tabs>
          <w:tab w:val="num" w:pos="1800"/>
        </w:tabs>
        <w:ind w:left="1800" w:hanging="360"/>
      </w:pPr>
      <w:rPr>
        <w:rFonts w:hint="default"/>
      </w:rPr>
    </w:lvl>
    <w:lvl w:ilvl="2" w:tplc="C2FCE512">
      <w:start w:val="1"/>
      <w:numFmt w:val="lowerLetter"/>
      <w:lvlText w:val="%3."/>
      <w:lvlJc w:val="left"/>
      <w:pPr>
        <w:tabs>
          <w:tab w:val="num" w:pos="2340"/>
        </w:tabs>
        <w:ind w:left="2340" w:hanging="360"/>
      </w:pPr>
      <w:rPr>
        <w:rFonts w:hint="default"/>
      </w:rPr>
    </w:lvl>
    <w:lvl w:ilvl="3" w:tplc="E3A0193C">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6869EC"/>
    <w:multiLevelType w:val="hybridMultilevel"/>
    <w:tmpl w:val="AA169E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242007A6"/>
    <w:multiLevelType w:val="hybridMultilevel"/>
    <w:tmpl w:val="2F60F32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C0829"/>
    <w:multiLevelType w:val="hybridMultilevel"/>
    <w:tmpl w:val="64E65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8D7730"/>
    <w:multiLevelType w:val="hybridMultilevel"/>
    <w:tmpl w:val="9544CD6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37F57AF2"/>
    <w:multiLevelType w:val="hybridMultilevel"/>
    <w:tmpl w:val="EF5ACD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F9F048F"/>
    <w:multiLevelType w:val="hybridMultilevel"/>
    <w:tmpl w:val="15744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4B094B4F"/>
    <w:multiLevelType w:val="hybridMultilevel"/>
    <w:tmpl w:val="98824C2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6A640D"/>
    <w:multiLevelType w:val="hybridMultilevel"/>
    <w:tmpl w:val="1E3EA056"/>
    <w:lvl w:ilvl="0" w:tplc="04090019">
      <w:start w:val="1"/>
      <w:numFmt w:val="lowerLetter"/>
      <w:lvlText w:val="%1."/>
      <w:lvlJc w:val="left"/>
      <w:pPr>
        <w:tabs>
          <w:tab w:val="num" w:pos="1620"/>
        </w:tabs>
        <w:ind w:left="1620" w:hanging="720"/>
      </w:pPr>
      <w:rPr>
        <w:rFonts w:hint="default"/>
      </w:rPr>
    </w:lvl>
    <w:lvl w:ilvl="1" w:tplc="04090019">
      <w:start w:val="1"/>
      <w:numFmt w:val="lowerLetter"/>
      <w:lvlText w:val="%2."/>
      <w:lvlJc w:val="left"/>
      <w:pPr>
        <w:tabs>
          <w:tab w:val="num" w:pos="1800"/>
        </w:tabs>
        <w:ind w:left="1800" w:hanging="360"/>
      </w:pPr>
      <w:rPr>
        <w:rFonts w:hint="default"/>
      </w:rPr>
    </w:lvl>
    <w:lvl w:ilvl="2" w:tplc="C2FCE512">
      <w:start w:val="1"/>
      <w:numFmt w:val="lowerLetter"/>
      <w:lvlText w:val="%3."/>
      <w:lvlJc w:val="left"/>
      <w:pPr>
        <w:tabs>
          <w:tab w:val="num" w:pos="2340"/>
        </w:tabs>
        <w:ind w:left="2340" w:hanging="360"/>
      </w:pPr>
      <w:rPr>
        <w:rFonts w:hint="default"/>
      </w:rPr>
    </w:lvl>
    <w:lvl w:ilvl="3" w:tplc="E3A0193C">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B85D76"/>
    <w:multiLevelType w:val="hybridMultilevel"/>
    <w:tmpl w:val="993872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5A720CD2"/>
    <w:multiLevelType w:val="hybridMultilevel"/>
    <w:tmpl w:val="B3D22FD4"/>
    <w:lvl w:ilvl="0" w:tplc="8AA2FB9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61E00DB9"/>
    <w:multiLevelType w:val="hybridMultilevel"/>
    <w:tmpl w:val="66EA8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61FF410F"/>
    <w:multiLevelType w:val="hybridMultilevel"/>
    <w:tmpl w:val="23864C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BFA2EF6"/>
    <w:multiLevelType w:val="hybridMultilevel"/>
    <w:tmpl w:val="8AD23A7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71603735"/>
    <w:multiLevelType w:val="hybridMultilevel"/>
    <w:tmpl w:val="717C1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5F3444F"/>
    <w:multiLevelType w:val="hybridMultilevel"/>
    <w:tmpl w:val="5B3C715A"/>
    <w:lvl w:ilvl="0" w:tplc="A35435DC">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220E9E"/>
    <w:multiLevelType w:val="hybridMultilevel"/>
    <w:tmpl w:val="8182C1E4"/>
    <w:lvl w:ilvl="0" w:tplc="0409000F">
      <w:start w:val="1"/>
      <w:numFmt w:val="decimal"/>
      <w:lvlText w:val="%1."/>
      <w:lvlJc w:val="left"/>
      <w:pPr>
        <w:tabs>
          <w:tab w:val="num" w:pos="1500"/>
        </w:tabs>
        <w:ind w:left="1500" w:hanging="360"/>
      </w:pPr>
    </w:lvl>
    <w:lvl w:ilvl="1" w:tplc="04090001">
      <w:start w:val="1"/>
      <w:numFmt w:val="bullet"/>
      <w:lvlText w:val=""/>
      <w:lvlJc w:val="left"/>
      <w:pPr>
        <w:tabs>
          <w:tab w:val="num" w:pos="2220"/>
        </w:tabs>
        <w:ind w:left="2220" w:hanging="360"/>
      </w:pPr>
      <w:rPr>
        <w:rFonts w:ascii="Symbol" w:hAnsi="Symbol" w:hint="default"/>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0" w15:restartNumberingAfterBreak="0">
    <w:nsid w:val="7D19755A"/>
    <w:multiLevelType w:val="hybridMultilevel"/>
    <w:tmpl w:val="FE60757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20"/>
  </w:num>
  <w:num w:numId="3">
    <w:abstractNumId w:val="1"/>
  </w:num>
  <w:num w:numId="4">
    <w:abstractNumId w:val="11"/>
  </w:num>
  <w:num w:numId="5">
    <w:abstractNumId w:val="16"/>
  </w:num>
  <w:num w:numId="6">
    <w:abstractNumId w:val="7"/>
  </w:num>
  <w:num w:numId="7">
    <w:abstractNumId w:val="12"/>
  </w:num>
  <w:num w:numId="8">
    <w:abstractNumId w:val="2"/>
  </w:num>
  <w:num w:numId="9">
    <w:abstractNumId w:val="13"/>
  </w:num>
  <w:num w:numId="10">
    <w:abstractNumId w:val="9"/>
  </w:num>
  <w:num w:numId="11">
    <w:abstractNumId w:val="4"/>
  </w:num>
  <w:num w:numId="12">
    <w:abstractNumId w:val="8"/>
  </w:num>
  <w:num w:numId="13">
    <w:abstractNumId w:val="8"/>
  </w:num>
  <w:num w:numId="14">
    <w:abstractNumId w:val="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5"/>
  </w:num>
  <w:num w:numId="17">
    <w:abstractNumId w:val="14"/>
  </w:num>
  <w:num w:numId="18">
    <w:abstractNumId w:val="10"/>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91"/>
    <w:rsid w:val="000151D1"/>
    <w:rsid w:val="00024C56"/>
    <w:rsid w:val="00032263"/>
    <w:rsid w:val="00033FF4"/>
    <w:rsid w:val="00044A64"/>
    <w:rsid w:val="00060923"/>
    <w:rsid w:val="00065D3F"/>
    <w:rsid w:val="00084C6C"/>
    <w:rsid w:val="0008708A"/>
    <w:rsid w:val="000969C0"/>
    <w:rsid w:val="000E6D22"/>
    <w:rsid w:val="000E7F3C"/>
    <w:rsid w:val="000F56B7"/>
    <w:rsid w:val="00137D7F"/>
    <w:rsid w:val="00143BE4"/>
    <w:rsid w:val="0015775F"/>
    <w:rsid w:val="001701E0"/>
    <w:rsid w:val="001A5279"/>
    <w:rsid w:val="001B7B20"/>
    <w:rsid w:val="001C367E"/>
    <w:rsid w:val="001F22C3"/>
    <w:rsid w:val="0022008F"/>
    <w:rsid w:val="00224F41"/>
    <w:rsid w:val="00226884"/>
    <w:rsid w:val="00236899"/>
    <w:rsid w:val="00245148"/>
    <w:rsid w:val="00260955"/>
    <w:rsid w:val="00277A98"/>
    <w:rsid w:val="002858D8"/>
    <w:rsid w:val="00285989"/>
    <w:rsid w:val="002B4FEF"/>
    <w:rsid w:val="002C420B"/>
    <w:rsid w:val="002D2951"/>
    <w:rsid w:val="003261AD"/>
    <w:rsid w:val="00375F39"/>
    <w:rsid w:val="00382203"/>
    <w:rsid w:val="003B1751"/>
    <w:rsid w:val="003E0ECC"/>
    <w:rsid w:val="003F23DF"/>
    <w:rsid w:val="003F5750"/>
    <w:rsid w:val="00405F98"/>
    <w:rsid w:val="004948B0"/>
    <w:rsid w:val="004F1848"/>
    <w:rsid w:val="004F23FC"/>
    <w:rsid w:val="004F7934"/>
    <w:rsid w:val="00501CDB"/>
    <w:rsid w:val="0051389B"/>
    <w:rsid w:val="00525C30"/>
    <w:rsid w:val="005274B7"/>
    <w:rsid w:val="0054504E"/>
    <w:rsid w:val="00560F1F"/>
    <w:rsid w:val="00574FCF"/>
    <w:rsid w:val="005D1525"/>
    <w:rsid w:val="005E3F70"/>
    <w:rsid w:val="0063167F"/>
    <w:rsid w:val="0064372E"/>
    <w:rsid w:val="00692908"/>
    <w:rsid w:val="006A2BAF"/>
    <w:rsid w:val="006A38B2"/>
    <w:rsid w:val="006D0898"/>
    <w:rsid w:val="006E2F23"/>
    <w:rsid w:val="00702E57"/>
    <w:rsid w:val="00703463"/>
    <w:rsid w:val="00721FFE"/>
    <w:rsid w:val="00725DDF"/>
    <w:rsid w:val="00740B5C"/>
    <w:rsid w:val="00743F44"/>
    <w:rsid w:val="007A2029"/>
    <w:rsid w:val="007B406B"/>
    <w:rsid w:val="007B6A78"/>
    <w:rsid w:val="007E12E4"/>
    <w:rsid w:val="007E1D1D"/>
    <w:rsid w:val="007F4F54"/>
    <w:rsid w:val="00813D67"/>
    <w:rsid w:val="00815D37"/>
    <w:rsid w:val="0086067A"/>
    <w:rsid w:val="008C0B77"/>
    <w:rsid w:val="008D3CBC"/>
    <w:rsid w:val="008F1BA6"/>
    <w:rsid w:val="008F618C"/>
    <w:rsid w:val="00963098"/>
    <w:rsid w:val="00981EC0"/>
    <w:rsid w:val="00992A5F"/>
    <w:rsid w:val="009C31D4"/>
    <w:rsid w:val="00A40741"/>
    <w:rsid w:val="00A65723"/>
    <w:rsid w:val="00A67994"/>
    <w:rsid w:val="00A74D6C"/>
    <w:rsid w:val="00A7658E"/>
    <w:rsid w:val="00A95263"/>
    <w:rsid w:val="00AA1BB2"/>
    <w:rsid w:val="00AB4E47"/>
    <w:rsid w:val="00AD3A2F"/>
    <w:rsid w:val="00AE011D"/>
    <w:rsid w:val="00B04313"/>
    <w:rsid w:val="00B21E9F"/>
    <w:rsid w:val="00B33F07"/>
    <w:rsid w:val="00B45A64"/>
    <w:rsid w:val="00B70C27"/>
    <w:rsid w:val="00B73F15"/>
    <w:rsid w:val="00B85AD1"/>
    <w:rsid w:val="00B86E4A"/>
    <w:rsid w:val="00B91F15"/>
    <w:rsid w:val="00BA0CE3"/>
    <w:rsid w:val="00BA7E5A"/>
    <w:rsid w:val="00BC1A48"/>
    <w:rsid w:val="00BD1B3F"/>
    <w:rsid w:val="00BD654C"/>
    <w:rsid w:val="00BD69E0"/>
    <w:rsid w:val="00BE171E"/>
    <w:rsid w:val="00C00518"/>
    <w:rsid w:val="00C22068"/>
    <w:rsid w:val="00C3583E"/>
    <w:rsid w:val="00C42FFE"/>
    <w:rsid w:val="00C57C16"/>
    <w:rsid w:val="00C65A5D"/>
    <w:rsid w:val="00C67448"/>
    <w:rsid w:val="00C96171"/>
    <w:rsid w:val="00CA1C85"/>
    <w:rsid w:val="00CB7208"/>
    <w:rsid w:val="00CC0D91"/>
    <w:rsid w:val="00D1428C"/>
    <w:rsid w:val="00D26C83"/>
    <w:rsid w:val="00D34E7D"/>
    <w:rsid w:val="00D4109F"/>
    <w:rsid w:val="00D52277"/>
    <w:rsid w:val="00D92E6A"/>
    <w:rsid w:val="00DC0F79"/>
    <w:rsid w:val="00DE3F1A"/>
    <w:rsid w:val="00DE748E"/>
    <w:rsid w:val="00E03AC9"/>
    <w:rsid w:val="00E068CA"/>
    <w:rsid w:val="00E222A3"/>
    <w:rsid w:val="00E40D6F"/>
    <w:rsid w:val="00E410E2"/>
    <w:rsid w:val="00EF7357"/>
    <w:rsid w:val="00F31289"/>
    <w:rsid w:val="00F354AF"/>
    <w:rsid w:val="00F6740A"/>
    <w:rsid w:val="00F70246"/>
    <w:rsid w:val="00F77B91"/>
    <w:rsid w:val="00F80454"/>
    <w:rsid w:val="00FA4D2F"/>
    <w:rsid w:val="00FC5468"/>
    <w:rsid w:val="00FF2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A335BC"/>
  <w15:docId w15:val="{1C040E84-D325-4D96-9F64-4AE11D9D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74FC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0D91"/>
    <w:pPr>
      <w:tabs>
        <w:tab w:val="center" w:pos="4320"/>
        <w:tab w:val="right" w:pos="8640"/>
      </w:tabs>
    </w:pPr>
  </w:style>
  <w:style w:type="paragraph" w:styleId="Footer">
    <w:name w:val="footer"/>
    <w:basedOn w:val="Normal"/>
    <w:link w:val="FooterChar"/>
    <w:rsid w:val="00CC0D91"/>
    <w:pPr>
      <w:tabs>
        <w:tab w:val="center" w:pos="4320"/>
        <w:tab w:val="right" w:pos="8640"/>
      </w:tabs>
    </w:pPr>
  </w:style>
  <w:style w:type="character" w:styleId="Hyperlink">
    <w:name w:val="Hyperlink"/>
    <w:basedOn w:val="DefaultParagraphFont"/>
    <w:rsid w:val="00CC0D91"/>
    <w:rPr>
      <w:color w:val="0000FF"/>
      <w:u w:val="single"/>
    </w:rPr>
  </w:style>
  <w:style w:type="paragraph" w:customStyle="1" w:styleId="Default">
    <w:name w:val="Default"/>
    <w:rsid w:val="00BC1A48"/>
    <w:pPr>
      <w:autoSpaceDE w:val="0"/>
      <w:autoSpaceDN w:val="0"/>
      <w:adjustRightInd w:val="0"/>
    </w:pPr>
    <w:rPr>
      <w:rFonts w:ascii="Akzidenz Grotesk BE Light" w:hAnsi="Akzidenz Grotesk BE Light" w:cs="Akzidenz Grotesk BE Light"/>
      <w:color w:val="000000"/>
      <w:sz w:val="24"/>
      <w:szCs w:val="24"/>
    </w:rPr>
  </w:style>
  <w:style w:type="paragraph" w:customStyle="1" w:styleId="Pa1">
    <w:name w:val="Pa1"/>
    <w:basedOn w:val="Default"/>
    <w:next w:val="Default"/>
    <w:uiPriority w:val="99"/>
    <w:rsid w:val="00BC1A48"/>
    <w:pPr>
      <w:spacing w:line="241" w:lineRule="atLeast"/>
    </w:pPr>
    <w:rPr>
      <w:rFonts w:cs="Times New Roman"/>
      <w:color w:val="auto"/>
    </w:rPr>
  </w:style>
  <w:style w:type="character" w:customStyle="1" w:styleId="A3">
    <w:name w:val="A3"/>
    <w:uiPriority w:val="99"/>
    <w:rsid w:val="00BC1A48"/>
    <w:rPr>
      <w:rFonts w:cs="Akzidenz Grotesk BE Light"/>
      <w:color w:val="000000"/>
      <w:sz w:val="16"/>
      <w:szCs w:val="16"/>
    </w:rPr>
  </w:style>
  <w:style w:type="paragraph" w:styleId="ListParagraph">
    <w:name w:val="List Paragraph"/>
    <w:basedOn w:val="Normal"/>
    <w:uiPriority w:val="34"/>
    <w:qFormat/>
    <w:rsid w:val="007B6A78"/>
    <w:pPr>
      <w:ind w:left="720"/>
      <w:contextualSpacing/>
    </w:pPr>
  </w:style>
  <w:style w:type="character" w:customStyle="1" w:styleId="FooterChar">
    <w:name w:val="Footer Char"/>
    <w:basedOn w:val="DefaultParagraphFont"/>
    <w:link w:val="Footer"/>
    <w:rsid w:val="006E2F23"/>
    <w:rPr>
      <w:sz w:val="24"/>
      <w:szCs w:val="24"/>
    </w:rPr>
  </w:style>
  <w:style w:type="paragraph" w:styleId="BalloonText">
    <w:name w:val="Balloon Text"/>
    <w:basedOn w:val="Normal"/>
    <w:link w:val="BalloonTextChar"/>
    <w:rsid w:val="00981EC0"/>
    <w:rPr>
      <w:rFonts w:ascii="Tahoma" w:hAnsi="Tahoma" w:cs="Tahoma"/>
      <w:sz w:val="16"/>
      <w:szCs w:val="16"/>
    </w:rPr>
  </w:style>
  <w:style w:type="character" w:customStyle="1" w:styleId="BalloonTextChar">
    <w:name w:val="Balloon Text Char"/>
    <w:basedOn w:val="DefaultParagraphFont"/>
    <w:link w:val="BalloonText"/>
    <w:rsid w:val="00981EC0"/>
    <w:rPr>
      <w:rFonts w:ascii="Tahoma" w:hAnsi="Tahoma" w:cs="Tahoma"/>
      <w:sz w:val="16"/>
      <w:szCs w:val="16"/>
    </w:rPr>
  </w:style>
  <w:style w:type="paragraph" w:customStyle="1" w:styleId="Pa22">
    <w:name w:val="Pa2+2"/>
    <w:basedOn w:val="Normal"/>
    <w:next w:val="Normal"/>
    <w:uiPriority w:val="99"/>
    <w:rsid w:val="00E03AC9"/>
    <w:pPr>
      <w:autoSpaceDE w:val="0"/>
      <w:autoSpaceDN w:val="0"/>
      <w:adjustRightInd w:val="0"/>
      <w:spacing w:line="241" w:lineRule="atLeast"/>
    </w:pPr>
    <w:rPr>
      <w:rFonts w:ascii="Calibri" w:hAnsi="Calibri"/>
    </w:rPr>
  </w:style>
  <w:style w:type="character" w:customStyle="1" w:styleId="A131">
    <w:name w:val="A13+1"/>
    <w:uiPriority w:val="99"/>
    <w:rsid w:val="00E03AC9"/>
    <w:rPr>
      <w:rFonts w:ascii="Calibri" w:hAnsi="Calibri" w:cs="Calibri" w:hint="default"/>
      <w:color w:val="000000"/>
      <w:sz w:val="15"/>
      <w:szCs w:val="15"/>
    </w:rPr>
  </w:style>
  <w:style w:type="character" w:customStyle="1" w:styleId="A121">
    <w:name w:val="A12+1"/>
    <w:uiPriority w:val="99"/>
    <w:rsid w:val="00E03AC9"/>
    <w:rPr>
      <w:rFonts w:ascii="Calibri" w:hAnsi="Calibri" w:cs="Calibri" w:hint="default"/>
      <w:i/>
      <w:i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51491">
      <w:bodyDiv w:val="1"/>
      <w:marLeft w:val="0"/>
      <w:marRight w:val="0"/>
      <w:marTop w:val="0"/>
      <w:marBottom w:val="0"/>
      <w:divBdr>
        <w:top w:val="none" w:sz="0" w:space="0" w:color="auto"/>
        <w:left w:val="none" w:sz="0" w:space="0" w:color="auto"/>
        <w:bottom w:val="none" w:sz="0" w:space="0" w:color="auto"/>
        <w:right w:val="none" w:sz="0" w:space="0" w:color="auto"/>
      </w:divBdr>
    </w:div>
    <w:div w:id="107509316">
      <w:bodyDiv w:val="1"/>
      <w:marLeft w:val="0"/>
      <w:marRight w:val="0"/>
      <w:marTop w:val="0"/>
      <w:marBottom w:val="0"/>
      <w:divBdr>
        <w:top w:val="none" w:sz="0" w:space="0" w:color="auto"/>
        <w:left w:val="none" w:sz="0" w:space="0" w:color="auto"/>
        <w:bottom w:val="none" w:sz="0" w:space="0" w:color="auto"/>
        <w:right w:val="none" w:sz="0" w:space="0" w:color="auto"/>
      </w:divBdr>
    </w:div>
    <w:div w:id="153689900">
      <w:bodyDiv w:val="1"/>
      <w:marLeft w:val="0"/>
      <w:marRight w:val="0"/>
      <w:marTop w:val="0"/>
      <w:marBottom w:val="0"/>
      <w:divBdr>
        <w:top w:val="none" w:sz="0" w:space="0" w:color="auto"/>
        <w:left w:val="none" w:sz="0" w:space="0" w:color="auto"/>
        <w:bottom w:val="none" w:sz="0" w:space="0" w:color="auto"/>
        <w:right w:val="none" w:sz="0" w:space="0" w:color="auto"/>
      </w:divBdr>
    </w:div>
    <w:div w:id="300692579">
      <w:bodyDiv w:val="1"/>
      <w:marLeft w:val="0"/>
      <w:marRight w:val="0"/>
      <w:marTop w:val="0"/>
      <w:marBottom w:val="0"/>
      <w:divBdr>
        <w:top w:val="none" w:sz="0" w:space="0" w:color="auto"/>
        <w:left w:val="none" w:sz="0" w:space="0" w:color="auto"/>
        <w:bottom w:val="none" w:sz="0" w:space="0" w:color="auto"/>
        <w:right w:val="none" w:sz="0" w:space="0" w:color="auto"/>
      </w:divBdr>
    </w:div>
    <w:div w:id="443578399">
      <w:bodyDiv w:val="1"/>
      <w:marLeft w:val="0"/>
      <w:marRight w:val="0"/>
      <w:marTop w:val="0"/>
      <w:marBottom w:val="0"/>
      <w:divBdr>
        <w:top w:val="none" w:sz="0" w:space="0" w:color="auto"/>
        <w:left w:val="none" w:sz="0" w:space="0" w:color="auto"/>
        <w:bottom w:val="none" w:sz="0" w:space="0" w:color="auto"/>
        <w:right w:val="none" w:sz="0" w:space="0" w:color="auto"/>
      </w:divBdr>
    </w:div>
    <w:div w:id="948855464">
      <w:bodyDiv w:val="1"/>
      <w:marLeft w:val="0"/>
      <w:marRight w:val="0"/>
      <w:marTop w:val="0"/>
      <w:marBottom w:val="0"/>
      <w:divBdr>
        <w:top w:val="none" w:sz="0" w:space="0" w:color="auto"/>
        <w:left w:val="none" w:sz="0" w:space="0" w:color="auto"/>
        <w:bottom w:val="none" w:sz="0" w:space="0" w:color="auto"/>
        <w:right w:val="none" w:sz="0" w:space="0" w:color="auto"/>
      </w:divBdr>
    </w:div>
    <w:div w:id="1991784852">
      <w:bodyDiv w:val="1"/>
      <w:marLeft w:val="0"/>
      <w:marRight w:val="0"/>
      <w:marTop w:val="0"/>
      <w:marBottom w:val="0"/>
      <w:divBdr>
        <w:top w:val="none" w:sz="0" w:space="0" w:color="auto"/>
        <w:left w:val="none" w:sz="0" w:space="0" w:color="auto"/>
        <w:bottom w:val="none" w:sz="0" w:space="0" w:color="auto"/>
        <w:right w:val="none" w:sz="0" w:space="0" w:color="auto"/>
      </w:divBdr>
    </w:div>
    <w:div w:id="210209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xreg.sos.state.tx.us/public/readtac$ext.ViewTAC?tac_view=5&amp;ti=40&amp;pt=20&amp;ch=802&amp;sch=G&amp;rl=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72B4291CC049909C21ED854CE3F3FF"/>
        <w:category>
          <w:name w:val="General"/>
          <w:gallery w:val="placeholder"/>
        </w:category>
        <w:types>
          <w:type w:val="bbPlcHdr"/>
        </w:types>
        <w:behaviors>
          <w:behavior w:val="content"/>
        </w:behaviors>
        <w:guid w:val="{48CDFA7E-404D-46B4-B08A-5FFCA144C7C1}"/>
      </w:docPartPr>
      <w:docPartBody>
        <w:p w:rsidR="0014291B" w:rsidRDefault="006E70D5" w:rsidP="006E70D5">
          <w:pPr>
            <w:pStyle w:val="3172B4291CC049909C21ED854CE3F3FF"/>
          </w:pPr>
          <w:r w:rsidRPr="008A334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D5"/>
    <w:rsid w:val="0014291B"/>
    <w:rsid w:val="006E7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E70D5"/>
    <w:rPr>
      <w:color w:val="808080"/>
    </w:rPr>
  </w:style>
  <w:style w:type="paragraph" w:customStyle="1" w:styleId="3172B4291CC049909C21ED854CE3F3FF">
    <w:name w:val="3172B4291CC049909C21ED854CE3F3FF"/>
    <w:rsid w:val="006E70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F4DC9-5EF2-4378-BA71-92591970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645</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WFC</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Briske, Melissa</dc:creator>
  <cp:lastModifiedBy>Kary Kuecker</cp:lastModifiedBy>
  <cp:revision>2</cp:revision>
  <cp:lastPrinted>2013-08-02T14:28:00Z</cp:lastPrinted>
  <dcterms:created xsi:type="dcterms:W3CDTF">2017-09-21T21:38:00Z</dcterms:created>
  <dcterms:modified xsi:type="dcterms:W3CDTF">2017-09-21T21:38:00Z</dcterms:modified>
</cp:coreProperties>
</file>