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0A" w:rsidRDefault="003E6D35" w:rsidP="00692F0A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802380" cy="70104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F0A" w:rsidRDefault="00692F0A" w:rsidP="00692F0A">
      <w:pPr>
        <w:jc w:val="center"/>
        <w:rPr>
          <w:rFonts w:ascii="Times New Roman" w:hAnsi="Times New Roman"/>
          <w:noProof/>
          <w:sz w:val="24"/>
          <w:szCs w:val="24"/>
        </w:rPr>
      </w:pPr>
      <w:r w:rsidRPr="00692F0A">
        <w:rPr>
          <w:rFonts w:ascii="Times New Roman" w:hAnsi="Times New Roman"/>
          <w:noProof/>
          <w:sz w:val="24"/>
          <w:szCs w:val="24"/>
        </w:rPr>
        <w:t>HEART OF TEXAS WORKFORCE DEVELOPMENT BOARD, INC.</w:t>
      </w:r>
    </w:p>
    <w:p w:rsidR="00A11CE1" w:rsidRPr="00D90B8A" w:rsidRDefault="00F361BF" w:rsidP="00692F0A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D90B8A">
        <w:rPr>
          <w:rFonts w:ascii="Times New Roman" w:hAnsi="Times New Roman"/>
          <w:b/>
          <w:noProof/>
          <w:sz w:val="28"/>
          <w:szCs w:val="28"/>
        </w:rPr>
        <w:t xml:space="preserve">ADMINISTRATIVE PROCEDURE </w:t>
      </w:r>
    </w:p>
    <w:tbl>
      <w:tblPr>
        <w:tblW w:w="9689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000" w:firstRow="0" w:lastRow="0" w:firstColumn="0" w:lastColumn="0" w:noHBand="0" w:noVBand="0"/>
      </w:tblPr>
      <w:tblGrid>
        <w:gridCol w:w="3002"/>
        <w:gridCol w:w="2229"/>
        <w:gridCol w:w="2229"/>
        <w:gridCol w:w="2229"/>
      </w:tblGrid>
      <w:tr w:rsidR="00692F0A" w:rsidRPr="004E0537" w:rsidTr="0006289D">
        <w:trPr>
          <w:cantSplit/>
          <w:trHeight w:val="695"/>
          <w:jc w:val="center"/>
        </w:trPr>
        <w:tc>
          <w:tcPr>
            <w:tcW w:w="3002" w:type="dxa"/>
            <w:tcBorders>
              <w:top w:val="thinThickSmallGap" w:sz="18" w:space="0" w:color="auto"/>
            </w:tcBorders>
            <w:vAlign w:val="center"/>
          </w:tcPr>
          <w:p w:rsidR="00692F0A" w:rsidRPr="004E0537" w:rsidRDefault="00692F0A" w:rsidP="001D7DD5">
            <w:pPr>
              <w:widowControl w:val="0"/>
              <w:kinsoku w:val="0"/>
              <w:spacing w:after="0" w:line="240" w:lineRule="auto"/>
              <w:ind w:right="-61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E05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ID NO.:</w:t>
            </w:r>
            <w:r w:rsidR="00041F20" w:rsidRPr="004E05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6289D" w:rsidRPr="0006289D">
              <w:rPr>
                <w:rFonts w:ascii="Times New Roman" w:eastAsia="Times New Roman" w:hAnsi="Times New Roman"/>
                <w:bCs/>
                <w:sz w:val="24"/>
                <w:szCs w:val="24"/>
              </w:rPr>
              <w:t>ADM</w:t>
            </w:r>
            <w:r w:rsidR="0006289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06289D" w:rsidRPr="0006289D">
              <w:rPr>
                <w:rFonts w:ascii="Times New Roman" w:eastAsia="Times New Roman" w:hAnsi="Times New Roman"/>
                <w:bCs/>
                <w:sz w:val="24"/>
                <w:szCs w:val="24"/>
              </w:rPr>
              <w:t>PRO</w:t>
            </w:r>
            <w:r w:rsidR="000628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669D0" w:rsidRPr="009669D0">
              <w:rPr>
                <w:rFonts w:ascii="Times New Roman" w:eastAsia="Times New Roman" w:hAnsi="Times New Roman"/>
                <w:bCs/>
                <w:sz w:val="24"/>
                <w:szCs w:val="24"/>
              </w:rPr>
              <w:t>002-016</w:t>
            </w:r>
          </w:p>
        </w:tc>
        <w:tc>
          <w:tcPr>
            <w:tcW w:w="2229" w:type="dxa"/>
            <w:tcBorders>
              <w:top w:val="thinThickSmallGap" w:sz="18" w:space="0" w:color="auto"/>
            </w:tcBorders>
            <w:vAlign w:val="center"/>
          </w:tcPr>
          <w:p w:rsidR="00692F0A" w:rsidRPr="004E0537" w:rsidRDefault="00692F0A" w:rsidP="00692F0A">
            <w:pPr>
              <w:widowControl w:val="0"/>
              <w:kinsoku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thinThickSmallGap" w:sz="18" w:space="0" w:color="auto"/>
            </w:tcBorders>
            <w:vAlign w:val="center"/>
          </w:tcPr>
          <w:p w:rsidR="00692F0A" w:rsidRPr="004E0537" w:rsidRDefault="00692F0A" w:rsidP="00692F0A">
            <w:pPr>
              <w:widowControl w:val="0"/>
              <w:kinsoku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E05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DATE ISSUED:</w:t>
            </w:r>
            <w:r w:rsidR="00041F20" w:rsidRPr="004E05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29" w:type="dxa"/>
            <w:tcBorders>
              <w:top w:val="thinThickSmallGap" w:sz="18" w:space="0" w:color="auto"/>
            </w:tcBorders>
            <w:vAlign w:val="center"/>
          </w:tcPr>
          <w:p w:rsidR="00692F0A" w:rsidRPr="004E0537" w:rsidRDefault="00210555" w:rsidP="00692F0A">
            <w:pPr>
              <w:widowControl w:val="0"/>
              <w:kinsoku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May 18, 2016</w:t>
            </w:r>
          </w:p>
        </w:tc>
      </w:tr>
      <w:tr w:rsidR="00692F0A" w:rsidRPr="004E0537" w:rsidTr="0006289D">
        <w:trPr>
          <w:cantSplit/>
          <w:trHeight w:val="695"/>
          <w:jc w:val="center"/>
        </w:trPr>
        <w:tc>
          <w:tcPr>
            <w:tcW w:w="3002" w:type="dxa"/>
            <w:tcBorders>
              <w:bottom w:val="thickThinSmallGap" w:sz="18" w:space="0" w:color="auto"/>
            </w:tcBorders>
            <w:vAlign w:val="center"/>
          </w:tcPr>
          <w:p w:rsidR="00692F0A" w:rsidRPr="004E0537" w:rsidRDefault="00692F0A" w:rsidP="00692F0A">
            <w:pPr>
              <w:widowControl w:val="0"/>
              <w:kinsoku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E05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PROGRAM: </w:t>
            </w:r>
          </w:p>
        </w:tc>
        <w:tc>
          <w:tcPr>
            <w:tcW w:w="2229" w:type="dxa"/>
            <w:tcBorders>
              <w:bottom w:val="thickThinSmallGap" w:sz="18" w:space="0" w:color="auto"/>
            </w:tcBorders>
            <w:vAlign w:val="center"/>
          </w:tcPr>
          <w:p w:rsidR="00692F0A" w:rsidRPr="004E0537" w:rsidRDefault="005B2A29" w:rsidP="00692F0A">
            <w:pPr>
              <w:widowControl w:val="0"/>
              <w:kinsoku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</w:t>
            </w:r>
            <w:sdt>
              <w:sdtPr>
                <w:alias w:val="Program(s)"/>
                <w:tag w:val="Choose a Program(s)"/>
                <w:id w:val="-1445921679"/>
                <w:placeholder>
                  <w:docPart w:val="7A6148386961459794129BEDD7939229"/>
                </w:placeholder>
                <w:comboBox>
                  <w:listItem w:displayText="Choose a Program" w:value="Choose a Program"/>
                  <w:listItem w:displayText="ADMINISTRATION" w:value="ADMINISTRATION"/>
                  <w:listItem w:displayText="ADMINISTRATION; GENERAL PERFORMANCE" w:value="ADMINISTRATION; GENERAL PERFORMANCE"/>
                  <w:listItem w:displayText="ALL PROGRAMS" w:value="ALL PROGRAMS"/>
                  <w:listItem w:displayText="ALL PROGRAMS; TWIST" w:value="ALL PROGRAMS; TWIST"/>
                  <w:listItem w:displayText="ALL PROGRAMS; VETERANS" w:value="ALL PROGRAMS; VETERANS"/>
                  <w:listItem w:displayText="ARRA / TANF" w:value="ARRA / TANF"/>
                  <w:listItem w:displayText="AUTOMATION" w:value="AUTOMATION"/>
                  <w:listItem w:displayText="CHILD CARE SERICES" w:value="CHILD CARE SERICES"/>
                  <w:listItem w:displayText="CHILD CARE; FISCAL ALLOCATIONS; RECOVERY ACT" w:value="CHILD CARE; FISCAL ALLOCATIONS; RECOVERY ACT"/>
                  <w:listItem w:displayText="CHILD CARE; RECOVERY ACT" w:value="CHILD CARE; RECOVERY ACT"/>
                  <w:listItem w:displayText="CHILD CARE; TANF/CHOICES" w:value="CHILD CARE; TANF/CHOICES"/>
                  <w:listItem w:displayText="CHILD CARE; TANF/CHOICES; TWIST" w:value="CHILD CARE; TANF/CHOICES; TWIST"/>
                  <w:listItem w:displayText="CHILD CARE; TWIST" w:value="CHILD CARE; TWIST"/>
                  <w:listItem w:displayText="CHOICES" w:value="CHOICES"/>
                  <w:listItem w:displayText="CHOICES / FSE&amp;T" w:value="CHOICES / FSE&amp;T"/>
                  <w:listItem w:displayText="DISLOCATED WORKER; TAA; TWIST; UI, WIA" w:value="DISLOCATED WORKER; TAA; TWIST; UI, WIA"/>
                  <w:listItem w:displayText="DISLOCATED WORKER; TWIST; WIA" w:value="DISLOCATED WORKER; TWIST; WIA"/>
                  <w:listItem w:displayText="EQUAL OPPORTUNITY" w:value="EQUAL OPPORTUNITY"/>
                  <w:listItem w:displayText="EMPLOYMENT SERVICES" w:value="EMPLOYMENT SERVICES"/>
                  <w:listItem w:displayText="EMPLOYMENT SERVICES; RRES; UI; WIT.COM" w:value="EMPLOYMENT SERVICES; RRES; UI; WIT.COM"/>
                  <w:listItem w:displayText="EMPLOYMENT SERVICES; TAA; TWIST; WIA" w:value="EMPLOYMENT SERVICES; TAA; TWIST; WIA"/>
                  <w:listItem w:displayText="FS" w:value="FS"/>
                  <w:listItem w:displayText="FISCAL - ADMIN; ALLOCATIONS" w:value="FISCAL - ADMIN; ALLOCATIONS"/>
                  <w:listItem w:displayText="FISCAL - ALLOCATIONS; SNAP E&amp;T" w:value="FISCAL - ALLOCATIONS; SNAP E&amp;T"/>
                  <w:listItem w:displayText="FISCAL - ALLOCATIONS; WIA" w:value="FISCAL - ALLOCATIONS; WIA"/>
                  <w:listItem w:displayText="FINANCIAL REPORTING" w:value="FINANCIAL REPORTING"/>
                  <w:listItem w:displayText="FINANCIAL REPORTING; RECOVERY ACT" w:value="FINANCIAL REPORTING; RECOVERY ACT"/>
                  <w:listItem w:displayText="FISCAL - ADMIN" w:value="FISCAL - ADMIN"/>
                  <w:listItem w:displayText="iNVESTMENT" w:value="iNVESTMENT"/>
                  <w:listItem w:displayText="PERFORMANCE" w:value="PERFORMANCE"/>
                  <w:listItem w:displayText="PROCUREMENT" w:value="PROCUREMENT"/>
                  <w:listItem w:displayText="PROJECT RIO" w:value="PROJECT RIO"/>
                  <w:listItem w:displayText="PROJECT RIO; TWIST" w:value="PROJECT RIO; TWIST"/>
                  <w:listItem w:displayText="SNAP E&amp;T" w:value="SNAP E&amp;T"/>
                  <w:listItem w:displayText="TAA" w:value="TAA"/>
                  <w:listItem w:displayText="TAA/TWIST" w:value="TAA/TWIST"/>
                  <w:listItem w:displayText="TANF" w:value="TANF"/>
                  <w:listItem w:displayText="TANF/CHOICES" w:value="TANF/CHOICES"/>
                  <w:listItem w:displayText="TANF/CHOICES; TWIST" w:value="TANF/CHOICES; TWIST"/>
                  <w:listItem w:displayText="TANF/CHOICES; TWIST; WIT.COM" w:value="TANF/CHOICES; TWIST; WIT.COM"/>
                  <w:listItem w:displayText="TANF / WIA" w:value="TANF / WIA"/>
                  <w:listItem w:displayText="TANF / WIA / TEXANS BACK TO WORK" w:value="TANF / WIA / TEXANS BACK TO WORK"/>
                  <w:listItem w:displayText="UNEMPLOYMENT INSURANCE" w:value="UNEMPLOYMENT INSURANCE"/>
                  <w:listItem w:displayText="WAGNER-PEYSER" w:value="WAGNER-PEYSER"/>
                  <w:listItem w:displayText="WORKFORCE INVESTMENT ACT" w:value="WORKFORCE INVESTMENT ACT"/>
                  <w:listItem w:displayText="WORKFORCE INVESTMENT ACT - ADULT, YOUTH" w:value="WORKFORCE INVESTMENT ACT - ADULT, YOUTH"/>
                  <w:listItem w:displayText="WORKFORCE INVESTMENT ACT; CHOICES" w:value="WORKFORCE INVESTMENT ACT; CHOICES"/>
                  <w:listItem w:displayText="WORKFORCE INVESTMENT ACT; TWIST" w:value="WORKFORCE INVESTMENT ACT; TWIST"/>
                  <w:listItem w:displayText="WORKFORCE INVESTMENT ACT; TRAINING" w:value="WORKFORCE INVESTMENT ACT; TRAINING"/>
                  <w:listItem w:displayText="WTW" w:value="WTW"/>
                  <w:listItem w:displayText="YOUTH SERVICES" w:value="YOUTH SERVICES"/>
                </w:comboBox>
              </w:sdtPr>
              <w:sdtEndPr/>
              <w:sdtContent>
                <w:r w:rsidR="0090351C">
                  <w:t>ALL PROGRAMS</w:t>
                </w:r>
              </w:sdtContent>
            </w:sdt>
          </w:p>
        </w:tc>
        <w:tc>
          <w:tcPr>
            <w:tcW w:w="2229" w:type="dxa"/>
            <w:tcBorders>
              <w:bottom w:val="thickThinSmallGap" w:sz="18" w:space="0" w:color="auto"/>
            </w:tcBorders>
            <w:vAlign w:val="center"/>
          </w:tcPr>
          <w:p w:rsidR="00692F0A" w:rsidRPr="004E0537" w:rsidRDefault="00692F0A" w:rsidP="001E7258">
            <w:pPr>
              <w:widowControl w:val="0"/>
              <w:kinsoku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E05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KEYWORD:</w:t>
            </w:r>
            <w:r w:rsidR="00041F20" w:rsidRPr="004E05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E7258" w:rsidRPr="004E05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2229" w:type="dxa"/>
            <w:tcBorders>
              <w:bottom w:val="thickThinSmallGap" w:sz="18" w:space="0" w:color="auto"/>
            </w:tcBorders>
            <w:vAlign w:val="center"/>
          </w:tcPr>
          <w:p w:rsidR="00692F0A" w:rsidRPr="004E0537" w:rsidRDefault="003428AA" w:rsidP="002405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PlaceholderText"/>
              </w:rPr>
              <w:t xml:space="preserve"> </w:t>
            </w:r>
            <w:sdt>
              <w:sdtPr>
                <w:rPr>
                  <w:rStyle w:val="PlaceholderText"/>
                </w:rPr>
                <w:alias w:val="KEYWORD(S)"/>
                <w:tag w:val="KEYWORD(S)"/>
                <w:id w:val="-1420787672"/>
                <w:placeholder>
                  <w:docPart w:val="7A6148386961459794129BEDD7939229"/>
                </w:placeholder>
                <w:dropDownList>
                  <w:listItem w:displayText="Choose a Keyword" w:value="Choose a Keyword"/>
                  <w:listItem w:displayText="AUTOMATION ADMINISTRATION" w:value="AUTOMATION ADMINISTRATION"/>
                  <w:listItem w:displayText="CHILD PROTECTIVE SERVICES" w:value="CHILD PROTECTIVE SERVICES"/>
                  <w:listItem w:displayText="CHILD SUPPORT &amp; OAG" w:value="CHILD SUPPORT &amp; OAG"/>
                  <w:listItem w:displayText="CHOICES  " w:value="CHOICES  "/>
                  <w:listItem w:displayText="CHOICES GUIDE" w:value="CHOICES GUIDE"/>
                  <w:listItem w:displayText="CHILDREN WITH DISABILITIES INCLUSION RATE" w:value="CHILDREN WITH DISABILITIES INCLUSION RATE"/>
                  <w:listItem w:displayText="COMPLAINTS" w:value="COMPLAINTS"/>
                  <w:listItem w:displayText="CONTRACTOR USE - CHOICES PERFORMANCE CAP OUTREACH" w:value="CONTRACTOR USE - CHOICES PERFORMANCE CAP OUTREACH"/>
                  <w:listItem w:displayText="CONTRACTOR USE - CHOICES PERFORMANCE CAP TIMELY DATA ENTRY" w:value="CONTRACTOR USE - CHOICES PERFORMANCE CAP TIMELY DATA ENTRY"/>
                  <w:listItem w:displayText="CONTRACTOR USE - CHOICES PERFORMANCE CAP WEEKLY, REVIEWS" w:value="CONTRACTOR USE - CHOICES PERFORMANCE CAP WEEKLY, REVIEWS"/>
                  <w:listItem w:displayText="DOCUMENT RETENTION" w:value="DOCUMENT RETENTION"/>
                  <w:listItem w:displayText="ELECTRONIC FILES" w:value="ELECTRONIC FILES"/>
                  <w:listItem w:displayText="EMPLOYMENT SERVICES GUIDE" w:value="EMPLOYMENT SERVICES GUIDE"/>
                  <w:listItem w:displayText="FRAUD &amp; ABUSE" w:value="FRAUD &amp; ABUSE"/>
                  <w:listItem w:displayText="INVESTMENT FUND BALANCE" w:value="INVESTMENT FUND BALANCE"/>
                  <w:listItem w:displayText="LOCAL MATCH FUNDS" w:value="LOCAL MATCH FUNDS"/>
                  <w:listItem w:displayText="MARKETING" w:value="MARKETING"/>
                  <w:listItem w:displayText="MICRO PURCHASE" w:value="MICRO PURCHASE"/>
                  <w:listItem w:displayText="MICRO PURCHASE; PROCUREMENT" w:value="MICRO PURCHASE; PROCUREMENT"/>
                  <w:listItem w:displayText="MIGRANT &amp; SEASONAL FARMER WORKERS" w:value="MIGRANT &amp; SEASONAL FARMER WORKERS"/>
                  <w:listItem w:displayText="OVERSIGHT" w:value="OVERSIGHT"/>
                  <w:listItem w:displayText="PROVIDER RESPONSIBILITIES &amp; REPORTING REQUIREMENTS FOR CCAA" w:value="PROVIDER RESPONSIBILITIES &amp; REPORTING REQUIREMENTS FOR CCAA"/>
                  <w:listItem w:displayText="QUALITY ASSURANCE, MONITORING" w:value="QUALITY ASSURANCE, MONITORING"/>
                  <w:listItem w:displayText="QUALITY CHILD CARE INDICATORS" w:value="QUALITY CHILD CARE INDICATORS"/>
                  <w:listItem w:displayText="RELATIVE CARE PROVIDERS LISTING REQUIREMENTS" w:value="RELATIVE CARE PROVIDERS LISTING REQUIREMENTS"/>
                  <w:listItem w:displayText="REPORTING, ELIGIBILITY, SELF ATTESTATION" w:value="REPORTING, ELIGIBILITY, SELF ATTESTATION"/>
                  <w:listItem w:displayText="SANCTION" w:value="SANCTION"/>
                  <w:listItem w:displayText="SMART FILES" w:value="SMART FILES"/>
                  <w:listItem w:displayText="SNAP E&amp;T GUIDE" w:value="SNAP E&amp;T GUIDE"/>
                  <w:listItem w:displayText="SOCIAL SECURITY NUMBERS" w:value="SOCIAL SECURITY NUMBERS"/>
                  <w:listItem w:displayText="TRAINING GUIDE" w:value="TRAINING GUIDE"/>
                  <w:listItem w:displayText="TRAINING PROVIDER ELIBIBILITY" w:value="TRAINING PROVIDER ELIBIBILITY"/>
                  <w:listItem w:displayText="TRAINER REQUIREMENTS" w:value="TRAINER REQUIREMENTS"/>
                  <w:listItem w:displayText="TRS COOPERATIVE PURCHASING PROGRAM" w:value="TRS COOPERATIVE PURCHASING PROGRAM"/>
                  <w:listItem w:displayText="TRS QUALITY  " w:value="TRS QUALITY  "/>
                  <w:listItem w:displayText="TWIST" w:value="TWIST"/>
                  <w:listItem w:displayText="VARIABLE SCHEDULE" w:value="VARIABLE SCHEDULE"/>
                  <w:listItem w:displayText="VETERANS" w:value="VETERANS"/>
                  <w:listItem w:displayText="VETERANS; PRIORITY" w:value="VETERANS; PRIORITY"/>
                  <w:listItem w:displayText="WIT EMPLOYER ACCESS" w:value="WIT EMPLOYER ACCESS"/>
                  <w:listItem w:displayText="WORKFORCE INVESTMENT ACT ELIGIBILTY, INCOME DESK REFERENCE" w:value="WORKFORCE INVESTMENT ACT ELIGIBILTY, INCOME DESK REFERENCE"/>
                  <w:listItem w:displayText="WORKPLACE VIOLENCE PREVENTION" w:value="WORKPLACE VIOLENCE PREVENTION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210555">
                  <w:rPr>
                    <w:rStyle w:val="PlaceholderText"/>
                  </w:rPr>
                  <w:t>AUTOMATION ADMINISTRATION</w:t>
                </w:r>
              </w:sdtContent>
            </w:sdt>
          </w:p>
        </w:tc>
      </w:tr>
    </w:tbl>
    <w:p w:rsidR="00692F0A" w:rsidRDefault="00692F0A" w:rsidP="00692F0A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692F0A" w:rsidRPr="001262AE" w:rsidRDefault="00692F0A" w:rsidP="00692F0A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692F0A">
        <w:rPr>
          <w:rFonts w:ascii="Times New Roman" w:hAnsi="Times New Roman"/>
          <w:b/>
          <w:noProof/>
          <w:sz w:val="24"/>
          <w:szCs w:val="24"/>
        </w:rPr>
        <w:t>SUBJECT:</w:t>
      </w:r>
      <w:r w:rsidR="001262AE">
        <w:rPr>
          <w:rFonts w:ascii="Times New Roman" w:hAnsi="Times New Roman"/>
          <w:noProof/>
          <w:sz w:val="24"/>
          <w:szCs w:val="24"/>
        </w:rPr>
        <w:t xml:space="preserve"> </w:t>
      </w:r>
      <w:r w:rsidR="001D7DD5">
        <w:rPr>
          <w:rFonts w:ascii="Times New Roman" w:hAnsi="Times New Roman"/>
          <w:noProof/>
          <w:sz w:val="24"/>
          <w:szCs w:val="24"/>
        </w:rPr>
        <w:t>Electronic Mail Retention (E-Mail)</w:t>
      </w:r>
    </w:p>
    <w:p w:rsidR="00692F0A" w:rsidRDefault="00692F0A" w:rsidP="00692F0A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692F0A" w:rsidRPr="00692F0A" w:rsidRDefault="001E7258" w:rsidP="00692F0A">
      <w:pPr>
        <w:pStyle w:val="NoSpacing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:rsidR="00692F0A" w:rsidRDefault="00692F0A" w:rsidP="00692F0A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692F0A">
        <w:rPr>
          <w:rFonts w:ascii="Times New Roman" w:hAnsi="Times New Roman"/>
          <w:b/>
          <w:noProof/>
          <w:sz w:val="24"/>
          <w:szCs w:val="24"/>
        </w:rPr>
        <w:t>PURPOSE:</w:t>
      </w:r>
      <w:r w:rsidR="00BA76E0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1D7DD5" w:rsidRPr="001D7DD5">
        <w:rPr>
          <w:rFonts w:ascii="Times New Roman" w:hAnsi="Times New Roman"/>
          <w:b/>
          <w:noProof/>
          <w:sz w:val="24"/>
          <w:szCs w:val="24"/>
        </w:rPr>
        <w:t xml:space="preserve">In order to maintain an efficient and reliable email system, Information Technology has implemented an Email Retention </w:t>
      </w:r>
      <w:r w:rsidR="001D7DD5">
        <w:rPr>
          <w:rFonts w:ascii="Times New Roman" w:hAnsi="Times New Roman"/>
          <w:b/>
          <w:noProof/>
          <w:sz w:val="24"/>
          <w:szCs w:val="24"/>
        </w:rPr>
        <w:t>Standard Operation Procedure (SOP)</w:t>
      </w:r>
      <w:r w:rsidR="001D7DD5" w:rsidRPr="001D7DD5">
        <w:rPr>
          <w:rFonts w:ascii="Times New Roman" w:hAnsi="Times New Roman"/>
          <w:b/>
          <w:noProof/>
          <w:sz w:val="24"/>
          <w:szCs w:val="24"/>
        </w:rPr>
        <w:t xml:space="preserve"> that is applied to six folders on all WSHOT email accounts. These six email folders are the Inbox, Junk Mail, Clutter, To-Be-Deleted, Deleted Items, and Sent Items.  All other email messages older than 5 years will be moved into an Archive folder with unlimited quota.</w:t>
      </w:r>
    </w:p>
    <w:p w:rsidR="00041F20" w:rsidRDefault="00041F20" w:rsidP="00692F0A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041F20" w:rsidRDefault="00692F0A" w:rsidP="00692F0A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692F0A">
        <w:rPr>
          <w:rFonts w:ascii="Times New Roman" w:hAnsi="Times New Roman"/>
          <w:b/>
          <w:noProof/>
          <w:sz w:val="24"/>
          <w:szCs w:val="24"/>
        </w:rPr>
        <w:t>REFERENCES:</w:t>
      </w:r>
      <w:r w:rsidR="00BA76E0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BD5AA3">
        <w:rPr>
          <w:rFonts w:ascii="Times New Roman" w:hAnsi="Times New Roman"/>
          <w:b/>
          <w:noProof/>
          <w:sz w:val="24"/>
          <w:szCs w:val="24"/>
        </w:rPr>
        <w:t>HWD 002-15 Communications Usuage Policy</w:t>
      </w:r>
    </w:p>
    <w:p w:rsidR="00041F20" w:rsidRDefault="00041F20" w:rsidP="00692F0A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90351C" w:rsidRPr="00552E60" w:rsidRDefault="00041F20" w:rsidP="0090351C">
      <w:pPr>
        <w:pStyle w:val="BodyText"/>
        <w:rPr>
          <w:b w:val="0"/>
        </w:rPr>
      </w:pPr>
      <w:r>
        <w:rPr>
          <w:noProof/>
          <w:szCs w:val="24"/>
        </w:rPr>
        <w:t>BACKGROUND</w:t>
      </w:r>
      <w:r w:rsidRPr="00041F20">
        <w:rPr>
          <w:noProof/>
          <w:szCs w:val="24"/>
        </w:rPr>
        <w:t>:</w:t>
      </w:r>
      <w:r w:rsidR="00BD5AA3">
        <w:rPr>
          <w:noProof/>
          <w:szCs w:val="24"/>
        </w:rPr>
        <w:t xml:space="preserve"> </w:t>
      </w:r>
      <w:r>
        <w:rPr>
          <w:noProof/>
          <w:szCs w:val="24"/>
        </w:rPr>
        <w:t xml:space="preserve"> </w:t>
      </w:r>
      <w:r w:rsidR="00BD5AA3" w:rsidRPr="00BD5AA3">
        <w:rPr>
          <w:noProof/>
          <w:szCs w:val="24"/>
        </w:rPr>
        <w:t xml:space="preserve">All WSHOT </w:t>
      </w:r>
      <w:r w:rsidR="00210555">
        <w:rPr>
          <w:noProof/>
          <w:szCs w:val="24"/>
        </w:rPr>
        <w:t xml:space="preserve">Board and </w:t>
      </w:r>
      <w:r w:rsidR="00BD5AA3" w:rsidRPr="00BD5AA3">
        <w:rPr>
          <w:noProof/>
          <w:szCs w:val="24"/>
        </w:rPr>
        <w:t>Center staff, partners,</w:t>
      </w:r>
      <w:r w:rsidR="00210555">
        <w:rPr>
          <w:noProof/>
          <w:szCs w:val="24"/>
        </w:rPr>
        <w:t xml:space="preserve"> </w:t>
      </w:r>
      <w:r w:rsidR="00BD5AA3" w:rsidRPr="00BD5AA3">
        <w:rPr>
          <w:noProof/>
          <w:szCs w:val="24"/>
        </w:rPr>
        <w:t>volunteers, other agency representatives, and any other person granted access to the Board</w:t>
      </w:r>
      <w:r w:rsidR="00210555">
        <w:rPr>
          <w:noProof/>
          <w:szCs w:val="24"/>
        </w:rPr>
        <w:t xml:space="preserve">communications </w:t>
      </w:r>
      <w:r w:rsidR="00BD5AA3" w:rsidRPr="00BD5AA3">
        <w:rPr>
          <w:noProof/>
          <w:szCs w:val="24"/>
        </w:rPr>
        <w:t>resources must comply with all standards set</w:t>
      </w:r>
      <w:r w:rsidR="00BD5AA3">
        <w:rPr>
          <w:noProof/>
          <w:szCs w:val="24"/>
        </w:rPr>
        <w:t xml:space="preserve"> as outlined in TWC and Board guidance.</w:t>
      </w:r>
    </w:p>
    <w:p w:rsidR="00041F20" w:rsidRPr="00552E60" w:rsidRDefault="00041F20" w:rsidP="00692F0A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041F20" w:rsidRDefault="00041F20" w:rsidP="00692F0A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041F20" w:rsidRPr="00BD5AA3" w:rsidRDefault="00041F20" w:rsidP="00692F0A">
      <w:pPr>
        <w:pStyle w:val="NoSpacing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BD5AA3">
        <w:rPr>
          <w:rFonts w:ascii="Times New Roman" w:hAnsi="Times New Roman"/>
          <w:b/>
          <w:noProof/>
          <w:sz w:val="24"/>
          <w:szCs w:val="24"/>
          <w:u w:val="single"/>
        </w:rPr>
        <w:t>P</w:t>
      </w:r>
      <w:r w:rsidR="005152C6" w:rsidRPr="00BD5AA3">
        <w:rPr>
          <w:rFonts w:ascii="Times New Roman" w:hAnsi="Times New Roman"/>
          <w:b/>
          <w:noProof/>
          <w:sz w:val="24"/>
          <w:szCs w:val="24"/>
          <w:u w:val="single"/>
        </w:rPr>
        <w:t>ROCEDURE</w:t>
      </w:r>
      <w:r w:rsidRPr="00BD5AA3">
        <w:rPr>
          <w:rFonts w:ascii="Times New Roman" w:hAnsi="Times New Roman"/>
          <w:b/>
          <w:noProof/>
          <w:sz w:val="24"/>
          <w:szCs w:val="24"/>
          <w:u w:val="single"/>
        </w:rPr>
        <w:t>:</w:t>
      </w:r>
      <w:r w:rsidR="00BA76E0" w:rsidRPr="00BD5AA3">
        <w:rPr>
          <w:rFonts w:ascii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1D7DD5" w:rsidRDefault="001D7DD5" w:rsidP="00692F0A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:rsidR="001D7DD5" w:rsidRDefault="001D7DD5" w:rsidP="001D7DD5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1D7DD5">
        <w:rPr>
          <w:rFonts w:ascii="Times New Roman" w:hAnsi="Times New Roman"/>
          <w:b/>
          <w:noProof/>
          <w:sz w:val="24"/>
          <w:szCs w:val="24"/>
        </w:rPr>
        <w:t xml:space="preserve">Inbox Retention:  </w:t>
      </w:r>
    </w:p>
    <w:p w:rsidR="001D7DD5" w:rsidRPr="001D7DD5" w:rsidRDefault="001D7DD5" w:rsidP="001D7DD5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:rsidR="001D7DD5" w:rsidRPr="001D7DD5" w:rsidRDefault="001D7DD5" w:rsidP="001D7DD5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1D7DD5">
        <w:rPr>
          <w:rFonts w:ascii="Times New Roman" w:hAnsi="Times New Roman"/>
          <w:noProof/>
          <w:sz w:val="24"/>
          <w:szCs w:val="24"/>
        </w:rPr>
        <w:t>Messages in the Inbox folder or sub-folders within the Inbox folder that exceed 3 years in age from the receive date will be automatically moved into the To-Be-Deleted folder. If messages exceeding the 3 year date stamp are required or desired to be maintained, please move these messages to a folder under your Cabinet or print them to a an electronic file outside of the email system such as a PDF or text file for long term storage.</w:t>
      </w:r>
    </w:p>
    <w:p w:rsidR="001D7DD5" w:rsidRPr="001D7DD5" w:rsidRDefault="001D7DD5" w:rsidP="001D7DD5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1D7DD5" w:rsidRDefault="001D7DD5" w:rsidP="001D7DD5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1D7DD5">
        <w:rPr>
          <w:rFonts w:ascii="Times New Roman" w:hAnsi="Times New Roman"/>
          <w:b/>
          <w:noProof/>
          <w:sz w:val="24"/>
          <w:szCs w:val="24"/>
        </w:rPr>
        <w:t xml:space="preserve">Junk Mail Retention: </w:t>
      </w:r>
    </w:p>
    <w:p w:rsidR="001D7DD5" w:rsidRPr="001D7DD5" w:rsidRDefault="001D7DD5" w:rsidP="001D7DD5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:rsidR="001D7DD5" w:rsidRPr="001D7DD5" w:rsidRDefault="001D7DD5" w:rsidP="001D7DD5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1D7DD5">
        <w:rPr>
          <w:rFonts w:ascii="Times New Roman" w:hAnsi="Times New Roman"/>
          <w:noProof/>
          <w:sz w:val="24"/>
          <w:szCs w:val="24"/>
        </w:rPr>
        <w:t>Messages in the Junk Mail folder will remain for 60 days from the receive date. After 60 days, messages will be moved into the Deleted Items folder.</w:t>
      </w:r>
    </w:p>
    <w:p w:rsidR="001D7DD5" w:rsidRPr="001D7DD5" w:rsidRDefault="001D7DD5" w:rsidP="001D7DD5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1D7DD5" w:rsidRDefault="001D7DD5" w:rsidP="001D7DD5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1D7DD5">
        <w:rPr>
          <w:rFonts w:ascii="Times New Roman" w:hAnsi="Times New Roman"/>
          <w:b/>
          <w:noProof/>
          <w:sz w:val="24"/>
          <w:szCs w:val="24"/>
        </w:rPr>
        <w:t xml:space="preserve">Clutter Retention: </w:t>
      </w:r>
    </w:p>
    <w:p w:rsidR="001D7DD5" w:rsidRPr="001D7DD5" w:rsidRDefault="001D7DD5" w:rsidP="001D7DD5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:rsidR="001D7DD5" w:rsidRPr="001D7DD5" w:rsidRDefault="001D7DD5" w:rsidP="001D7DD5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1D7DD5">
        <w:rPr>
          <w:rFonts w:ascii="Times New Roman" w:hAnsi="Times New Roman"/>
          <w:noProof/>
          <w:sz w:val="24"/>
          <w:szCs w:val="24"/>
        </w:rPr>
        <w:t>Messages in the Clutter folder will remain for 60 days from the receive date. After 60 days, messages will be moved into the Deleted Items folder.</w:t>
      </w:r>
    </w:p>
    <w:p w:rsidR="001D7DD5" w:rsidRPr="001D7DD5" w:rsidRDefault="001D7DD5" w:rsidP="001D7DD5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1D7DD5" w:rsidRDefault="001D7DD5" w:rsidP="001D7DD5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1D7DD5">
        <w:rPr>
          <w:rFonts w:ascii="Times New Roman" w:hAnsi="Times New Roman"/>
          <w:b/>
          <w:noProof/>
          <w:sz w:val="24"/>
          <w:szCs w:val="24"/>
        </w:rPr>
        <w:t xml:space="preserve">To-Be-Deleted Retention: </w:t>
      </w:r>
    </w:p>
    <w:p w:rsidR="001D7DD5" w:rsidRPr="001D7DD5" w:rsidRDefault="001D7DD5" w:rsidP="001D7DD5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:rsidR="001D7DD5" w:rsidRPr="001D7DD5" w:rsidRDefault="001D7DD5" w:rsidP="001D7DD5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1D7DD5">
        <w:rPr>
          <w:rFonts w:ascii="Times New Roman" w:hAnsi="Times New Roman"/>
          <w:noProof/>
          <w:sz w:val="24"/>
          <w:szCs w:val="24"/>
        </w:rPr>
        <w:t>Messages will remain in the To-Be-Deleted folder for 3 years plus 90 days from the receive date before being permanently purged from WSHOT’s email system. This folder is a 90-day “safe area” for all Inbox and Sent items that have reached their retention expiration for users to recover if needed.</w:t>
      </w:r>
    </w:p>
    <w:p w:rsidR="001D7DD5" w:rsidRPr="001D7DD5" w:rsidRDefault="001D7DD5" w:rsidP="001D7DD5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1D7DD5" w:rsidRDefault="001D7DD5" w:rsidP="001D7DD5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1D7DD5">
        <w:rPr>
          <w:rFonts w:ascii="Times New Roman" w:hAnsi="Times New Roman"/>
          <w:b/>
          <w:noProof/>
          <w:sz w:val="24"/>
          <w:szCs w:val="24"/>
        </w:rPr>
        <w:t xml:space="preserve">Deleted Items (Trash) Retention: </w:t>
      </w:r>
    </w:p>
    <w:p w:rsidR="001D7DD5" w:rsidRPr="001D7DD5" w:rsidRDefault="001D7DD5" w:rsidP="001D7DD5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:rsidR="001D7DD5" w:rsidRPr="00552E60" w:rsidRDefault="001D7DD5" w:rsidP="001D7DD5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1D7DD5">
        <w:rPr>
          <w:rFonts w:ascii="Times New Roman" w:hAnsi="Times New Roman"/>
          <w:noProof/>
          <w:sz w:val="24"/>
          <w:szCs w:val="24"/>
        </w:rPr>
        <w:t>Messages will remain in the Deleted Items folder for 120 days from the receive date before being permanently purged from WSHOT’s email system.</w:t>
      </w:r>
    </w:p>
    <w:p w:rsidR="00041F20" w:rsidRDefault="00041F20" w:rsidP="00692F0A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D40AAE" w:rsidRDefault="00D40AAE" w:rsidP="00D40AAE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Sent Items </w:t>
      </w:r>
      <w:r w:rsidRPr="001D7DD5">
        <w:rPr>
          <w:rFonts w:ascii="Times New Roman" w:hAnsi="Times New Roman"/>
          <w:b/>
          <w:noProof/>
          <w:sz w:val="24"/>
          <w:szCs w:val="24"/>
        </w:rPr>
        <w:t xml:space="preserve">Retention: </w:t>
      </w:r>
    </w:p>
    <w:p w:rsidR="00D40AAE" w:rsidRPr="001D7DD5" w:rsidRDefault="00D40AAE" w:rsidP="00D40AAE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:rsidR="00041F20" w:rsidRPr="00D40AAE" w:rsidRDefault="00D40AAE" w:rsidP="00D40AAE">
      <w:pPr>
        <w:rPr>
          <w:rFonts w:ascii="Times New Roman" w:eastAsia="Calibri" w:hAnsi="Times New Roman" w:cs="Times New Roman"/>
          <w:noProof/>
          <w:sz w:val="24"/>
          <w:szCs w:val="24"/>
        </w:rPr>
      </w:pPr>
      <w:r w:rsidRPr="00D40AAE">
        <w:rPr>
          <w:rFonts w:ascii="Times New Roman" w:eastAsia="Calibri" w:hAnsi="Times New Roman" w:cs="Times New Roman"/>
          <w:noProof/>
          <w:sz w:val="24"/>
          <w:szCs w:val="24"/>
        </w:rPr>
        <w:t>Messages within the Sent Items folder or in sub-folders within the Sent Items folder that exceed 3 years, will be moved into the To-Be-Deleted folder. If messages exceeding the 3 year date stamp are required or desired to be maintained, please move these messages to a folder under your Cabinet or print them to a an electronic file outside of the email system such as a PDF or text file for long term storage.</w:t>
      </w:r>
    </w:p>
    <w:p w:rsidR="00D40AAE" w:rsidRDefault="00D40AAE" w:rsidP="00692F0A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041F20" w:rsidRDefault="00041F20" w:rsidP="00692F0A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041F20">
        <w:rPr>
          <w:rFonts w:ascii="Times New Roman" w:hAnsi="Times New Roman"/>
          <w:b/>
          <w:noProof/>
          <w:sz w:val="24"/>
          <w:szCs w:val="24"/>
        </w:rPr>
        <w:t>EFFECTIVE DATE: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1D7DD5">
        <w:rPr>
          <w:rFonts w:ascii="Times New Roman" w:hAnsi="Times New Roman"/>
          <w:noProof/>
          <w:sz w:val="24"/>
          <w:szCs w:val="24"/>
        </w:rPr>
        <w:t>Immediately</w:t>
      </w:r>
    </w:p>
    <w:p w:rsidR="00041F20" w:rsidRDefault="00041F20" w:rsidP="00692F0A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041F20" w:rsidRDefault="00041F20" w:rsidP="00692F0A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BA76E0" w:rsidRPr="00552E60" w:rsidRDefault="00041F20" w:rsidP="00041F20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041F20">
        <w:rPr>
          <w:rFonts w:ascii="Times New Roman" w:hAnsi="Times New Roman"/>
          <w:b/>
          <w:noProof/>
          <w:sz w:val="24"/>
          <w:szCs w:val="24"/>
        </w:rPr>
        <w:t>INQUIRIES:</w:t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D2646E" w:rsidRPr="00552E60">
        <w:rPr>
          <w:rFonts w:ascii="Times New Roman" w:hAnsi="Times New Roman"/>
          <w:noProof/>
          <w:sz w:val="24"/>
          <w:szCs w:val="24"/>
        </w:rPr>
        <w:t>Aquanetta Brobston</w:t>
      </w:r>
    </w:p>
    <w:p w:rsidR="00BA76E0" w:rsidRPr="00552E60" w:rsidRDefault="00D2646E" w:rsidP="00041F20">
      <w:pPr>
        <w:pStyle w:val="NoSpacing"/>
        <w:rPr>
          <w:rFonts w:ascii="Times New Roman" w:hAnsi="Times New Roman"/>
          <w:sz w:val="24"/>
          <w:szCs w:val="24"/>
        </w:rPr>
      </w:pPr>
      <w:r w:rsidRPr="00552E60">
        <w:rPr>
          <w:rFonts w:ascii="Times New Roman" w:hAnsi="Times New Roman"/>
          <w:noProof/>
          <w:sz w:val="24"/>
          <w:szCs w:val="24"/>
        </w:rPr>
        <w:t xml:space="preserve">                        HOTWB Quality Assurance/</w:t>
      </w:r>
      <w:r w:rsidR="007D6F97" w:rsidRPr="00552E60">
        <w:rPr>
          <w:rFonts w:ascii="Times New Roman" w:hAnsi="Times New Roman"/>
          <w:noProof/>
          <w:sz w:val="24"/>
          <w:szCs w:val="24"/>
        </w:rPr>
        <w:t>EO Officer/504 Coordinator</w:t>
      </w:r>
    </w:p>
    <w:sectPr w:rsidR="00BA76E0" w:rsidRPr="00552E60" w:rsidSect="00692F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210" w:rsidRDefault="00597210" w:rsidP="00041F20">
      <w:pPr>
        <w:spacing w:after="0" w:line="240" w:lineRule="auto"/>
      </w:pPr>
      <w:r>
        <w:separator/>
      </w:r>
    </w:p>
  </w:endnote>
  <w:endnote w:type="continuationSeparator" w:id="0">
    <w:p w:rsidR="00597210" w:rsidRDefault="00597210" w:rsidP="0004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A3" w:rsidRDefault="00BD5A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86C" w:rsidRDefault="0088286C" w:rsidP="004E0537">
    <w:pPr>
      <w:pStyle w:val="Footer"/>
      <w:tabs>
        <w:tab w:val="clear" w:pos="9360"/>
      </w:tabs>
    </w:pPr>
    <w:r>
      <w:t>ID No.                 HOTWDB</w:t>
    </w:r>
    <w:r w:rsidRPr="00041F20">
      <w:rPr>
        <w:w w:val="110"/>
        <w:sz w:val="18"/>
        <w:szCs w:val="18"/>
      </w:rPr>
      <w:tab/>
      <w:t xml:space="preserve"> </w:t>
    </w:r>
    <w:r>
      <w:rPr>
        <w:w w:val="110"/>
        <w:sz w:val="18"/>
        <w:szCs w:val="18"/>
      </w:rPr>
      <w:t xml:space="preserve">                                                                                                                                          Page </w:t>
    </w:r>
    <w:r>
      <w:rPr>
        <w:w w:val="110"/>
        <w:sz w:val="18"/>
        <w:szCs w:val="18"/>
      </w:rPr>
      <w:fldChar w:fldCharType="begin"/>
    </w:r>
    <w:r>
      <w:rPr>
        <w:w w:val="110"/>
        <w:sz w:val="18"/>
        <w:szCs w:val="18"/>
      </w:rPr>
      <w:instrText xml:space="preserve"> PAGE </w:instrText>
    </w:r>
    <w:r>
      <w:rPr>
        <w:w w:val="110"/>
        <w:sz w:val="18"/>
        <w:szCs w:val="18"/>
      </w:rPr>
      <w:fldChar w:fldCharType="separate"/>
    </w:r>
    <w:r w:rsidR="009C4C30">
      <w:rPr>
        <w:noProof/>
        <w:w w:val="110"/>
        <w:sz w:val="18"/>
        <w:szCs w:val="18"/>
      </w:rPr>
      <w:t>1</w:t>
    </w:r>
    <w:r>
      <w:rPr>
        <w:w w:val="110"/>
        <w:sz w:val="18"/>
        <w:szCs w:val="18"/>
      </w:rPr>
      <w:fldChar w:fldCharType="end"/>
    </w:r>
    <w:r>
      <w:rPr>
        <w:w w:val="110"/>
        <w:sz w:val="18"/>
        <w:szCs w:val="18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A3" w:rsidRDefault="00BD5A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210" w:rsidRDefault="00597210" w:rsidP="00041F20">
      <w:pPr>
        <w:spacing w:after="0" w:line="240" w:lineRule="auto"/>
      </w:pPr>
      <w:r>
        <w:separator/>
      </w:r>
    </w:p>
  </w:footnote>
  <w:footnote w:type="continuationSeparator" w:id="0">
    <w:p w:rsidR="00597210" w:rsidRDefault="00597210" w:rsidP="00041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A3" w:rsidRDefault="00BD5A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A3" w:rsidRDefault="00BD5A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A3" w:rsidRDefault="00BD5A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9D"/>
    <w:rsid w:val="00017740"/>
    <w:rsid w:val="000269DC"/>
    <w:rsid w:val="00041F20"/>
    <w:rsid w:val="0006289D"/>
    <w:rsid w:val="00070BFF"/>
    <w:rsid w:val="000D1CC3"/>
    <w:rsid w:val="001262AE"/>
    <w:rsid w:val="001A7851"/>
    <w:rsid w:val="001D7DD5"/>
    <w:rsid w:val="001E7258"/>
    <w:rsid w:val="00210555"/>
    <w:rsid w:val="0024059D"/>
    <w:rsid w:val="00251CF7"/>
    <w:rsid w:val="0027273D"/>
    <w:rsid w:val="002C679B"/>
    <w:rsid w:val="002D7207"/>
    <w:rsid w:val="002E09D6"/>
    <w:rsid w:val="0031163F"/>
    <w:rsid w:val="003428AA"/>
    <w:rsid w:val="00347E69"/>
    <w:rsid w:val="00362B1E"/>
    <w:rsid w:val="00391253"/>
    <w:rsid w:val="0039731B"/>
    <w:rsid w:val="003E6D35"/>
    <w:rsid w:val="00435BB4"/>
    <w:rsid w:val="004E0537"/>
    <w:rsid w:val="005152C6"/>
    <w:rsid w:val="005330ED"/>
    <w:rsid w:val="005432B4"/>
    <w:rsid w:val="00551A0B"/>
    <w:rsid w:val="00552E60"/>
    <w:rsid w:val="00593D1B"/>
    <w:rsid w:val="00597210"/>
    <w:rsid w:val="005B2A29"/>
    <w:rsid w:val="0066295A"/>
    <w:rsid w:val="00692F0A"/>
    <w:rsid w:val="00693920"/>
    <w:rsid w:val="006A3272"/>
    <w:rsid w:val="006D752F"/>
    <w:rsid w:val="006E49C7"/>
    <w:rsid w:val="0074553E"/>
    <w:rsid w:val="00766679"/>
    <w:rsid w:val="00790748"/>
    <w:rsid w:val="007A26A3"/>
    <w:rsid w:val="007A7EA8"/>
    <w:rsid w:val="007D5855"/>
    <w:rsid w:val="007D6F97"/>
    <w:rsid w:val="007D7845"/>
    <w:rsid w:val="007E0329"/>
    <w:rsid w:val="0083606B"/>
    <w:rsid w:val="00843DB0"/>
    <w:rsid w:val="0088286C"/>
    <w:rsid w:val="00895BA5"/>
    <w:rsid w:val="008D03F2"/>
    <w:rsid w:val="0090351C"/>
    <w:rsid w:val="009669D0"/>
    <w:rsid w:val="009A0EEF"/>
    <w:rsid w:val="009C4C30"/>
    <w:rsid w:val="00A11CE1"/>
    <w:rsid w:val="00A3115F"/>
    <w:rsid w:val="00A36AF1"/>
    <w:rsid w:val="00A74AA8"/>
    <w:rsid w:val="00AF1123"/>
    <w:rsid w:val="00B06840"/>
    <w:rsid w:val="00B51706"/>
    <w:rsid w:val="00BA76E0"/>
    <w:rsid w:val="00BD5AA3"/>
    <w:rsid w:val="00BE3355"/>
    <w:rsid w:val="00C035DB"/>
    <w:rsid w:val="00C06EBD"/>
    <w:rsid w:val="00C518F9"/>
    <w:rsid w:val="00CD524A"/>
    <w:rsid w:val="00D12A73"/>
    <w:rsid w:val="00D2646E"/>
    <w:rsid w:val="00D37731"/>
    <w:rsid w:val="00D40AAE"/>
    <w:rsid w:val="00D90B8A"/>
    <w:rsid w:val="00DF2294"/>
    <w:rsid w:val="00E251B4"/>
    <w:rsid w:val="00E420B9"/>
    <w:rsid w:val="00EC1C5B"/>
    <w:rsid w:val="00EE76BD"/>
    <w:rsid w:val="00F361BF"/>
    <w:rsid w:val="00FA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AE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92F0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2F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92F0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41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F20"/>
  </w:style>
  <w:style w:type="paragraph" w:styleId="Footer">
    <w:name w:val="footer"/>
    <w:basedOn w:val="Normal"/>
    <w:link w:val="FooterChar"/>
    <w:uiPriority w:val="99"/>
    <w:unhideWhenUsed/>
    <w:rsid w:val="00041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F20"/>
  </w:style>
  <w:style w:type="character" w:styleId="Strong">
    <w:name w:val="Strong"/>
    <w:uiPriority w:val="22"/>
    <w:qFormat/>
    <w:rsid w:val="007E0329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90351C"/>
    <w:pPr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0351C"/>
    <w:rPr>
      <w:rFonts w:ascii="Times New Roman" w:eastAsia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AE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92F0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2F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92F0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41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F20"/>
  </w:style>
  <w:style w:type="paragraph" w:styleId="Footer">
    <w:name w:val="footer"/>
    <w:basedOn w:val="Normal"/>
    <w:link w:val="FooterChar"/>
    <w:uiPriority w:val="99"/>
    <w:unhideWhenUsed/>
    <w:rsid w:val="00041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F20"/>
  </w:style>
  <w:style w:type="character" w:styleId="Strong">
    <w:name w:val="Strong"/>
    <w:uiPriority w:val="22"/>
    <w:qFormat/>
    <w:rsid w:val="007E0329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90351C"/>
    <w:pPr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0351C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y.hedge\Desktop\Policy%20Template%20Files\1%20WFB%20POLICY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A6148386961459794129BEDD7939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09F1A-91A0-4014-974B-40812758F4CC}"/>
      </w:docPartPr>
      <w:docPartBody>
        <w:p w:rsidR="0029414F" w:rsidRDefault="007E3F29">
          <w:pPr>
            <w:pStyle w:val="7A6148386961459794129BEDD7939229"/>
          </w:pPr>
          <w:r w:rsidRPr="008A334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19"/>
    <w:rsid w:val="00042320"/>
    <w:rsid w:val="0023103D"/>
    <w:rsid w:val="00234E18"/>
    <w:rsid w:val="0029414F"/>
    <w:rsid w:val="003445B1"/>
    <w:rsid w:val="00467EA0"/>
    <w:rsid w:val="00522B9C"/>
    <w:rsid w:val="005E5501"/>
    <w:rsid w:val="006B7FF4"/>
    <w:rsid w:val="007E3F29"/>
    <w:rsid w:val="008B0B74"/>
    <w:rsid w:val="008F0219"/>
    <w:rsid w:val="00993E4A"/>
    <w:rsid w:val="00AC374C"/>
    <w:rsid w:val="00D5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3103D"/>
    <w:rPr>
      <w:color w:val="808080"/>
    </w:rPr>
  </w:style>
  <w:style w:type="paragraph" w:customStyle="1" w:styleId="7A6148386961459794129BEDD7939229">
    <w:name w:val="7A6148386961459794129BEDD7939229"/>
  </w:style>
  <w:style w:type="paragraph" w:customStyle="1" w:styleId="AEDEE79D9BF746188B1817AD74C22B16">
    <w:name w:val="AEDEE79D9BF746188B1817AD74C22B16"/>
    <w:rsid w:val="008F0219"/>
  </w:style>
  <w:style w:type="paragraph" w:customStyle="1" w:styleId="D72925B096EB4C71BC602F77AD633D6C">
    <w:name w:val="D72925B096EB4C71BC602F77AD633D6C"/>
    <w:rsid w:val="0023103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3103D"/>
    <w:rPr>
      <w:color w:val="808080"/>
    </w:rPr>
  </w:style>
  <w:style w:type="paragraph" w:customStyle="1" w:styleId="7A6148386961459794129BEDD7939229">
    <w:name w:val="7A6148386961459794129BEDD7939229"/>
  </w:style>
  <w:style w:type="paragraph" w:customStyle="1" w:styleId="AEDEE79D9BF746188B1817AD74C22B16">
    <w:name w:val="AEDEE79D9BF746188B1817AD74C22B16"/>
    <w:rsid w:val="008F0219"/>
  </w:style>
  <w:style w:type="paragraph" w:customStyle="1" w:styleId="D72925B096EB4C71BC602F77AD633D6C">
    <w:name w:val="D72925B096EB4C71BC602F77AD633D6C"/>
    <w:rsid w:val="002310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4FEDF-0F67-4EE7-A6AE-592B4CAC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WFB POLICY TEMPLATE</Template>
  <TotalTime>1</TotalTime>
  <Pages>2</Pages>
  <Words>429</Words>
  <Characters>2446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Heart of Texas Workforce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Hedge, Judy</dc:creator>
  <cp:lastModifiedBy>Hedge, Judy</cp:lastModifiedBy>
  <cp:revision>2</cp:revision>
  <dcterms:created xsi:type="dcterms:W3CDTF">2016-05-20T13:04:00Z</dcterms:created>
  <dcterms:modified xsi:type="dcterms:W3CDTF">2016-05-20T13:04:00Z</dcterms:modified>
</cp:coreProperties>
</file>